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AC" w:rsidRPr="00F377AC" w:rsidRDefault="00F377AC" w:rsidP="00EE22E6">
      <w:pPr>
        <w:rPr>
          <w:lang w:eastAsia="lt-LT"/>
        </w:rPr>
      </w:pPr>
      <w:bookmarkStart w:id="0" w:name="_GoBack"/>
      <w:bookmarkEnd w:id="0"/>
      <w:r w:rsidRPr="00F377AC">
        <w:rPr>
          <w:lang w:eastAsia="lt-LT"/>
        </w:rPr>
        <w:t>Įsivertinimo rezultatų apibendrinimas</w:t>
      </w:r>
    </w:p>
    <w:p w:rsidR="00F377AC" w:rsidRDefault="00F377AC" w:rsidP="00F377AC">
      <w:pPr>
        <w:spacing w:before="100" w:beforeAutospacing="1" w:after="100" w:afterAutospacing="1" w:line="240" w:lineRule="auto"/>
        <w:jc w:val="center"/>
        <w:rPr>
          <w:rFonts w:eastAsia="Times New Roman" w:cs="Times New Roman"/>
          <w:b/>
          <w:bCs/>
          <w:sz w:val="28"/>
          <w:szCs w:val="28"/>
          <w:lang w:eastAsia="lt-LT"/>
        </w:rPr>
      </w:pPr>
      <w:r w:rsidRPr="00F377AC">
        <w:rPr>
          <w:rFonts w:eastAsia="Times New Roman" w:cs="Times New Roman"/>
          <w:b/>
          <w:bCs/>
          <w:sz w:val="28"/>
          <w:szCs w:val="28"/>
          <w:lang w:eastAsia="lt-LT"/>
        </w:rPr>
        <w:t>2016-2017 m.m.</w:t>
      </w:r>
    </w:p>
    <w:p w:rsidR="00F377AC" w:rsidRDefault="00F377AC" w:rsidP="00F377AC">
      <w:pPr>
        <w:rPr>
          <w:szCs w:val="24"/>
        </w:rPr>
      </w:pPr>
      <w:r>
        <w:rPr>
          <w:rFonts w:eastAsia="Times New Roman" w:cs="Times New Roman"/>
          <w:szCs w:val="24"/>
          <w:lang w:eastAsia="lt-LT"/>
        </w:rPr>
        <w:t xml:space="preserve">     </w:t>
      </w:r>
      <w:r w:rsidRPr="00F377AC">
        <w:rPr>
          <w:rFonts w:eastAsia="Times New Roman" w:cs="Times New Roman"/>
          <w:szCs w:val="24"/>
          <w:lang w:eastAsia="lt-LT"/>
        </w:rPr>
        <w:t xml:space="preserve">Mokyklos veiklos kokybės įsivertinimas buvo atliktas vadovaujantis LR ŠMM ministro 2016 m. kovo 29 d. įsakymu Nr. V-267 patvirtinta „Mokyklos, įgyvendinančios bendrojo ugdymo programas, veiklos kokybės įsivertinimo metodika“. Mokyklos veiklos kokybė s auditą atliko  direktoriaus 2016 m. rugsėjo 1 d. įsakymu Nr.V-137  sudaryta veiklos kokybės įsivertinimo darbo grupė: </w:t>
      </w:r>
      <w:r w:rsidRPr="00F377AC">
        <w:rPr>
          <w:szCs w:val="24"/>
        </w:rPr>
        <w:t>Janina Girulskienė, grupės vadovė, Daiva Kaselienė, Edita Žilinskaitė-Pukėnienė,  Lionė Jurkevičienė, Vaidas Jamantas.</w:t>
      </w:r>
    </w:p>
    <w:p w:rsidR="0031736C" w:rsidRDefault="0031736C" w:rsidP="00F377AC">
      <w:pPr>
        <w:rPr>
          <w:szCs w:val="24"/>
        </w:rPr>
      </w:pPr>
    </w:p>
    <w:p w:rsidR="0031736C" w:rsidRPr="0031736C" w:rsidRDefault="0031736C" w:rsidP="0031736C">
      <w:pPr>
        <w:rPr>
          <w:rFonts w:eastAsia="Times New Roman" w:cs="Times New Roman"/>
          <w:szCs w:val="24"/>
          <w:lang w:eastAsia="lt-LT"/>
        </w:rPr>
      </w:pPr>
      <w:r>
        <w:rPr>
          <w:rFonts w:eastAsia="Times New Roman" w:cs="Times New Roman"/>
          <w:szCs w:val="24"/>
          <w:lang w:eastAsia="lt-LT"/>
        </w:rPr>
        <w:t xml:space="preserve">Tikslas: 1. Joniškio mokyklos-daugiafunkcio centro </w:t>
      </w:r>
      <w:r w:rsidRPr="0031736C">
        <w:rPr>
          <w:rFonts w:eastAsia="Times New Roman" w:cs="Times New Roman"/>
          <w:szCs w:val="24"/>
          <w:lang w:eastAsia="lt-LT"/>
        </w:rPr>
        <w:t xml:space="preserve">veiklos </w:t>
      </w:r>
      <w:r>
        <w:rPr>
          <w:rFonts w:eastAsia="Times New Roman" w:cs="Times New Roman"/>
          <w:szCs w:val="24"/>
          <w:lang w:eastAsia="lt-LT"/>
        </w:rPr>
        <w:t xml:space="preserve">kokybės </w:t>
      </w:r>
      <w:r w:rsidRPr="0031736C">
        <w:rPr>
          <w:rFonts w:eastAsia="Times New Roman" w:cs="Times New Roman"/>
          <w:szCs w:val="24"/>
          <w:lang w:eastAsia="lt-LT"/>
        </w:rPr>
        <w:t>gerinimas atrandant ir patvirtinant mokinių ugdymo ir ugdymo (-si) sėkmes ir nustatant tobulintinas sritis.</w:t>
      </w:r>
    </w:p>
    <w:p w:rsidR="0031736C" w:rsidRPr="0031736C" w:rsidRDefault="0031736C" w:rsidP="0031736C">
      <w:pPr>
        <w:rPr>
          <w:rFonts w:eastAsia="Times New Roman" w:cs="Times New Roman"/>
          <w:szCs w:val="24"/>
          <w:lang w:eastAsia="lt-LT"/>
        </w:rPr>
      </w:pPr>
      <w:r w:rsidRPr="0031736C">
        <w:rPr>
          <w:rFonts w:eastAsia="Times New Roman" w:cs="Times New Roman"/>
          <w:szCs w:val="24"/>
          <w:lang w:eastAsia="lt-LT"/>
        </w:rPr>
        <w:t>2. Bendruomenės refleksija: analizuoti įsivertinimo rezultatus ir priimti sprendimus veiklai tobulinti.</w:t>
      </w:r>
    </w:p>
    <w:p w:rsidR="0031736C" w:rsidRDefault="0031736C" w:rsidP="0031736C">
      <w:pPr>
        <w:rPr>
          <w:rFonts w:eastAsia="Times New Roman" w:cs="Times New Roman"/>
          <w:szCs w:val="24"/>
          <w:lang w:eastAsia="lt-LT"/>
        </w:rPr>
      </w:pPr>
    </w:p>
    <w:p w:rsidR="0031736C" w:rsidRPr="0031736C" w:rsidRDefault="0031736C" w:rsidP="0031736C">
      <w:pPr>
        <w:autoSpaceDE w:val="0"/>
        <w:autoSpaceDN w:val="0"/>
        <w:adjustRightInd w:val="0"/>
        <w:spacing w:line="240" w:lineRule="auto"/>
        <w:rPr>
          <w:rFonts w:eastAsia="Calibri" w:cs="Times New Roman"/>
          <w:szCs w:val="24"/>
        </w:rPr>
      </w:pPr>
      <w:r w:rsidRPr="0031736C">
        <w:rPr>
          <w:rFonts w:eastAsia="Calibri" w:cs="Times New Roman"/>
          <w:b/>
          <w:szCs w:val="24"/>
        </w:rPr>
        <w:t>Pasirinkta sritis</w:t>
      </w:r>
      <w:r w:rsidRPr="0031736C">
        <w:rPr>
          <w:rFonts w:eastAsia="Calibri" w:cs="Times New Roman"/>
          <w:szCs w:val="24"/>
        </w:rPr>
        <w:t>:</w:t>
      </w:r>
      <w:r w:rsidRPr="0031736C">
        <w:rPr>
          <w:rFonts w:eastAsia="Calibri" w:cs="Times New Roman"/>
          <w:b/>
          <w:color w:val="FF6600"/>
          <w:szCs w:val="24"/>
        </w:rPr>
        <w:t xml:space="preserve"> </w:t>
      </w:r>
      <w:r w:rsidR="00A41953">
        <w:rPr>
          <w:rFonts w:eastAsia="Calibri" w:cs="Times New Roman"/>
          <w:b/>
          <w:color w:val="FF6600"/>
          <w:szCs w:val="24"/>
        </w:rPr>
        <w:t xml:space="preserve"> </w:t>
      </w:r>
      <w:r w:rsidR="00A41953" w:rsidRPr="00A41953">
        <w:rPr>
          <w:rFonts w:eastAsia="Calibri" w:cs="Times New Roman"/>
          <w:szCs w:val="24"/>
        </w:rPr>
        <w:t>2.</w:t>
      </w:r>
      <w:r w:rsidR="00A41953" w:rsidRPr="00A41953">
        <w:rPr>
          <w:rFonts w:eastAsia="Calibri" w:cs="Times New Roman"/>
          <w:b/>
          <w:szCs w:val="24"/>
        </w:rPr>
        <w:t xml:space="preserve"> </w:t>
      </w:r>
      <w:r w:rsidR="00A41953">
        <w:rPr>
          <w:rFonts w:eastAsia="Calibri" w:cs="Times New Roman"/>
          <w:szCs w:val="24"/>
        </w:rPr>
        <w:t>U</w:t>
      </w:r>
      <w:r w:rsidRPr="0031736C">
        <w:rPr>
          <w:rFonts w:eastAsia="Calibri" w:cs="Times New Roman"/>
          <w:szCs w:val="24"/>
        </w:rPr>
        <w:t>gdymas(is) ir mokinių patirtys.</w:t>
      </w:r>
    </w:p>
    <w:p w:rsidR="0031736C" w:rsidRPr="0031736C" w:rsidRDefault="00127680" w:rsidP="0031736C">
      <w:pPr>
        <w:autoSpaceDE w:val="0"/>
        <w:autoSpaceDN w:val="0"/>
        <w:adjustRightInd w:val="0"/>
        <w:spacing w:line="240" w:lineRule="auto"/>
        <w:rPr>
          <w:rFonts w:eastAsia="Calibri" w:cs="Times New Roman"/>
          <w:szCs w:val="24"/>
        </w:rPr>
      </w:pPr>
      <w:r>
        <w:rPr>
          <w:rFonts w:eastAsia="Calibri" w:cs="Times New Roman"/>
          <w:szCs w:val="24"/>
        </w:rPr>
        <w:t xml:space="preserve">I tema  - </w:t>
      </w:r>
      <w:r w:rsidR="00A41953" w:rsidRPr="00A41953">
        <w:rPr>
          <w:rFonts w:eastAsia="Calibri" w:cs="Times New Roman"/>
          <w:szCs w:val="24"/>
        </w:rPr>
        <w:t xml:space="preserve">2.2. </w:t>
      </w:r>
      <w:r w:rsidR="00A41953">
        <w:rPr>
          <w:rFonts w:eastAsia="Calibri" w:cs="Times New Roman"/>
          <w:bCs/>
          <w:szCs w:val="24"/>
        </w:rPr>
        <w:t>V</w:t>
      </w:r>
      <w:r w:rsidR="0031736C" w:rsidRPr="0031736C">
        <w:rPr>
          <w:rFonts w:eastAsia="Calibri" w:cs="Times New Roman"/>
          <w:bCs/>
          <w:szCs w:val="24"/>
        </w:rPr>
        <w:t>adovavimas mokymuisi, rodiklis –</w:t>
      </w:r>
      <w:r w:rsidR="00637BC4">
        <w:rPr>
          <w:rFonts w:eastAsia="Calibri" w:cs="Times New Roman"/>
          <w:bCs/>
          <w:szCs w:val="24"/>
        </w:rPr>
        <w:t xml:space="preserve"> </w:t>
      </w:r>
      <w:r w:rsidR="00637BC4" w:rsidRPr="00637BC4">
        <w:rPr>
          <w:rFonts w:eastAsia="Calibri" w:cs="Times New Roman"/>
          <w:bCs/>
          <w:szCs w:val="24"/>
        </w:rPr>
        <w:t xml:space="preserve">2.2.2. Ugdymo(si) </w:t>
      </w:r>
      <w:r w:rsidR="0031736C" w:rsidRPr="0031736C">
        <w:rPr>
          <w:rFonts w:eastAsia="Calibri" w:cs="Times New Roman"/>
          <w:bCs/>
          <w:szCs w:val="24"/>
        </w:rPr>
        <w:t>organizavimas.</w:t>
      </w:r>
    </w:p>
    <w:p w:rsidR="0031736C" w:rsidRPr="0031736C" w:rsidRDefault="0031736C" w:rsidP="0031736C">
      <w:pPr>
        <w:autoSpaceDE w:val="0"/>
        <w:autoSpaceDN w:val="0"/>
        <w:adjustRightInd w:val="0"/>
        <w:spacing w:line="240" w:lineRule="auto"/>
        <w:rPr>
          <w:rFonts w:eastAsia="Calibri" w:cs="Times New Roman"/>
          <w:bCs/>
          <w:szCs w:val="24"/>
        </w:rPr>
      </w:pPr>
      <w:r w:rsidRPr="0031736C">
        <w:rPr>
          <w:rFonts w:eastAsia="Calibri" w:cs="Times New Roman"/>
          <w:bCs/>
          <w:szCs w:val="24"/>
        </w:rPr>
        <w:t>II tema –</w:t>
      </w:r>
      <w:r w:rsidR="00127680">
        <w:rPr>
          <w:rFonts w:eastAsia="Calibri" w:cs="Times New Roman"/>
          <w:bCs/>
          <w:szCs w:val="24"/>
        </w:rPr>
        <w:t xml:space="preserve"> </w:t>
      </w:r>
      <w:r w:rsidR="00127680" w:rsidRPr="00127680">
        <w:rPr>
          <w:rFonts w:eastAsia="Calibri" w:cs="Times New Roman"/>
          <w:bCs/>
          <w:szCs w:val="24"/>
        </w:rPr>
        <w:t xml:space="preserve">2.3. </w:t>
      </w:r>
      <w:r w:rsidR="00127680">
        <w:rPr>
          <w:rFonts w:eastAsia="Calibri" w:cs="Times New Roman"/>
          <w:bCs/>
          <w:szCs w:val="24"/>
        </w:rPr>
        <w:t xml:space="preserve"> M</w:t>
      </w:r>
      <w:r w:rsidRPr="0031736C">
        <w:rPr>
          <w:rFonts w:eastAsia="Calibri" w:cs="Times New Roman"/>
          <w:bCs/>
          <w:szCs w:val="24"/>
        </w:rPr>
        <w:t>okymosi patirtys, rodiklis –</w:t>
      </w:r>
      <w:r w:rsidR="00127680">
        <w:rPr>
          <w:rFonts w:eastAsia="Calibri" w:cs="Times New Roman"/>
          <w:bCs/>
          <w:szCs w:val="24"/>
        </w:rPr>
        <w:t xml:space="preserve"> </w:t>
      </w:r>
      <w:r w:rsidR="00127680" w:rsidRPr="00127680">
        <w:rPr>
          <w:rFonts w:eastAsia="Calibri" w:cs="Times New Roman"/>
          <w:bCs/>
          <w:szCs w:val="24"/>
        </w:rPr>
        <w:t xml:space="preserve">2.3.1. </w:t>
      </w:r>
      <w:r w:rsidR="00127680">
        <w:rPr>
          <w:rFonts w:eastAsia="Calibri" w:cs="Times New Roman"/>
          <w:bCs/>
          <w:szCs w:val="24"/>
        </w:rPr>
        <w:t xml:space="preserve"> M</w:t>
      </w:r>
      <w:r w:rsidRPr="0031736C">
        <w:rPr>
          <w:rFonts w:eastAsia="Calibri" w:cs="Times New Roman"/>
          <w:bCs/>
          <w:szCs w:val="24"/>
        </w:rPr>
        <w:t>okymasis.</w:t>
      </w:r>
    </w:p>
    <w:p w:rsidR="0031736C" w:rsidRPr="0031736C" w:rsidRDefault="0031736C" w:rsidP="0031736C">
      <w:pPr>
        <w:autoSpaceDE w:val="0"/>
        <w:autoSpaceDN w:val="0"/>
        <w:adjustRightInd w:val="0"/>
        <w:spacing w:line="240" w:lineRule="auto"/>
        <w:rPr>
          <w:rFonts w:eastAsia="Times New Roman" w:cs="Times New Roman"/>
          <w:szCs w:val="24"/>
          <w:lang w:eastAsia="lt-LT"/>
        </w:rPr>
      </w:pPr>
    </w:p>
    <w:p w:rsidR="0031736C" w:rsidRDefault="00A41953" w:rsidP="0031736C">
      <w:pPr>
        <w:rPr>
          <w:rFonts w:eastAsia="Times New Roman" w:cs="Times New Roman"/>
          <w:b/>
          <w:szCs w:val="24"/>
          <w:lang w:eastAsia="lt-LT"/>
        </w:rPr>
      </w:pPr>
      <w:r w:rsidRPr="00A41953">
        <w:rPr>
          <w:rFonts w:eastAsia="Times New Roman" w:cs="Times New Roman"/>
          <w:b/>
          <w:szCs w:val="24"/>
          <w:lang w:eastAsia="lt-LT"/>
        </w:rPr>
        <w:t xml:space="preserve">                                                          </w:t>
      </w:r>
      <w:r w:rsidR="0031736C" w:rsidRPr="00A41953">
        <w:rPr>
          <w:rFonts w:eastAsia="Times New Roman" w:cs="Times New Roman"/>
          <w:b/>
          <w:szCs w:val="24"/>
          <w:lang w:eastAsia="lt-LT"/>
        </w:rPr>
        <w:t>Mokyklos veiklos kokybės įsivertinimo grupės darbo planas</w:t>
      </w:r>
    </w:p>
    <w:p w:rsidR="00A41953" w:rsidRDefault="00A41953" w:rsidP="0031736C">
      <w:pPr>
        <w:rPr>
          <w:rFonts w:eastAsia="Times New Roman" w:cs="Times New Roman"/>
          <w:b/>
          <w:szCs w:val="24"/>
          <w:lang w:eastAsia="lt-LT"/>
        </w:rPr>
      </w:pPr>
    </w:p>
    <w:p w:rsidR="00A41953" w:rsidRDefault="00A41953" w:rsidP="00A41953">
      <w:pPr>
        <w:pStyle w:val="ListParagraph"/>
        <w:numPr>
          <w:ilvl w:val="0"/>
          <w:numId w:val="2"/>
        </w:numPr>
        <w:rPr>
          <w:rFonts w:eastAsia="Times New Roman" w:cs="Times New Roman"/>
          <w:szCs w:val="24"/>
          <w:lang w:eastAsia="lt-LT"/>
        </w:rPr>
      </w:pPr>
      <w:r w:rsidRPr="00A41953">
        <w:rPr>
          <w:rFonts w:eastAsia="Times New Roman" w:cs="Times New Roman"/>
          <w:szCs w:val="24"/>
          <w:lang w:eastAsia="lt-LT"/>
        </w:rPr>
        <w:t>Mokytojai supažindinami su Bendrojo lavinimo mokyklos veiklos įsivertinimo  tvarkos aprašu (Lietuvos Respublikos švietimo ir mokslo ministro 2016 m. kovo 29 d. įsakymu Nr. V-267)</w:t>
      </w:r>
    </w:p>
    <w:p w:rsidR="00A41953" w:rsidRDefault="00A41953" w:rsidP="00A41953">
      <w:pPr>
        <w:pStyle w:val="ListParagraph"/>
        <w:numPr>
          <w:ilvl w:val="0"/>
          <w:numId w:val="2"/>
        </w:numPr>
        <w:rPr>
          <w:rFonts w:eastAsia="Times New Roman" w:cs="Times New Roman"/>
          <w:szCs w:val="24"/>
          <w:lang w:eastAsia="lt-LT"/>
        </w:rPr>
      </w:pPr>
      <w:r w:rsidRPr="00A41953">
        <w:rPr>
          <w:rFonts w:eastAsia="Times New Roman" w:cs="Times New Roman"/>
          <w:szCs w:val="24"/>
          <w:lang w:eastAsia="lt-LT"/>
        </w:rPr>
        <w:t>Priimamas mokyklos bendruomenės sprendimas dėl veiklos rodiklio (rodiklių) ar iškeltos problemos pasirinkimo įsivertinimui atlikti.</w:t>
      </w:r>
    </w:p>
    <w:p w:rsidR="00A41953" w:rsidRDefault="00A41953" w:rsidP="00A41953">
      <w:pPr>
        <w:pStyle w:val="ListParagraph"/>
        <w:numPr>
          <w:ilvl w:val="0"/>
          <w:numId w:val="2"/>
        </w:numPr>
        <w:rPr>
          <w:rFonts w:eastAsia="Times New Roman" w:cs="Times New Roman"/>
          <w:szCs w:val="24"/>
          <w:lang w:eastAsia="lt-LT"/>
        </w:rPr>
      </w:pPr>
      <w:r w:rsidRPr="00A41953">
        <w:rPr>
          <w:rFonts w:eastAsia="Times New Roman" w:cs="Times New Roman"/>
          <w:szCs w:val="24"/>
          <w:lang w:eastAsia="lt-LT"/>
        </w:rPr>
        <w:t>Kuriamos mokyklos veiklos kokybės įsivertinimo iliustracijos., pasirenkami, parengiami arba pritaikomi įsivertinimo instrumentai ( naudojama Nacionalinės mokyklų vertinimo agentūros tiesiogine internetine sistema www.iqesonline.lt). Renkami ir apdorojami duomenys.</w:t>
      </w:r>
    </w:p>
    <w:p w:rsidR="00A41953" w:rsidRDefault="00A41953" w:rsidP="00A41953">
      <w:pPr>
        <w:pStyle w:val="ListParagraph"/>
        <w:numPr>
          <w:ilvl w:val="0"/>
          <w:numId w:val="2"/>
        </w:numPr>
        <w:rPr>
          <w:rFonts w:eastAsia="Times New Roman" w:cs="Times New Roman"/>
          <w:szCs w:val="24"/>
          <w:lang w:eastAsia="lt-LT"/>
        </w:rPr>
      </w:pPr>
      <w:r w:rsidRPr="00A41953">
        <w:rPr>
          <w:rFonts w:eastAsia="Times New Roman" w:cs="Times New Roman"/>
          <w:szCs w:val="24"/>
          <w:lang w:eastAsia="lt-LT"/>
        </w:rPr>
        <w:t>Informuojama ir su išvadomis supažindinama mokyklos, mokytojų  ir mokinių taryba.</w:t>
      </w:r>
    </w:p>
    <w:p w:rsidR="00A41953" w:rsidRDefault="00A41953" w:rsidP="00A41953">
      <w:pPr>
        <w:rPr>
          <w:rFonts w:eastAsia="Times New Roman" w:cs="Times New Roman"/>
          <w:szCs w:val="24"/>
          <w:lang w:eastAsia="lt-LT"/>
        </w:rPr>
      </w:pPr>
    </w:p>
    <w:p w:rsidR="00A41953" w:rsidRPr="00A41953" w:rsidRDefault="00A41953" w:rsidP="00A41953">
      <w:pPr>
        <w:autoSpaceDE w:val="0"/>
        <w:autoSpaceDN w:val="0"/>
        <w:adjustRightInd w:val="0"/>
        <w:spacing w:line="240" w:lineRule="auto"/>
        <w:rPr>
          <w:rFonts w:eastAsia="Calibri" w:cs="Times New Roman"/>
          <w:b/>
          <w:szCs w:val="24"/>
        </w:rPr>
      </w:pPr>
      <w:r w:rsidRPr="00A41953">
        <w:rPr>
          <w:rFonts w:eastAsia="Calibri" w:cs="Times New Roman"/>
          <w:b/>
          <w:szCs w:val="24"/>
        </w:rPr>
        <w:t xml:space="preserve">Iliustracijos (vertinimų skalė): </w:t>
      </w:r>
    </w:p>
    <w:p w:rsidR="00A41953" w:rsidRPr="00A41953" w:rsidRDefault="00A41953" w:rsidP="00A41953">
      <w:pPr>
        <w:autoSpaceDE w:val="0"/>
        <w:autoSpaceDN w:val="0"/>
        <w:adjustRightInd w:val="0"/>
        <w:spacing w:line="240" w:lineRule="auto"/>
        <w:rPr>
          <w:rFonts w:eastAsia="Calibri" w:cs="Times New Roman"/>
          <w:b/>
          <w:szCs w:val="24"/>
        </w:rPr>
      </w:pPr>
    </w:p>
    <w:tbl>
      <w:tblPr>
        <w:tblW w:w="14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2929"/>
        <w:gridCol w:w="3969"/>
        <w:gridCol w:w="3544"/>
      </w:tblGrid>
      <w:tr w:rsidR="00A41953" w:rsidRPr="00A41953" w:rsidTr="00DA278B">
        <w:tc>
          <w:tcPr>
            <w:tcW w:w="4390" w:type="dxa"/>
          </w:tcPr>
          <w:p w:rsidR="00A41953" w:rsidRPr="00A41953" w:rsidRDefault="00A41953" w:rsidP="00A41953">
            <w:pPr>
              <w:spacing w:after="200" w:line="240" w:lineRule="auto"/>
              <w:rPr>
                <w:rFonts w:eastAsia="Calibri" w:cs="Times New Roman"/>
                <w:szCs w:val="24"/>
              </w:rPr>
            </w:pPr>
            <w:r w:rsidRPr="00A41953">
              <w:rPr>
                <w:rFonts w:eastAsia="Calibri" w:cs="Times New Roman"/>
                <w:bCs/>
                <w:szCs w:val="24"/>
              </w:rPr>
              <w:t>2.2. Vadovavimas mokymuisi</w:t>
            </w:r>
          </w:p>
        </w:tc>
        <w:tc>
          <w:tcPr>
            <w:tcW w:w="2929" w:type="dxa"/>
          </w:tcPr>
          <w:p w:rsidR="00A41953" w:rsidRPr="00A41953" w:rsidRDefault="00A41953" w:rsidP="00A41953">
            <w:pPr>
              <w:spacing w:after="200" w:line="240" w:lineRule="auto"/>
              <w:rPr>
                <w:rFonts w:eastAsia="Calibri" w:cs="Times New Roman"/>
                <w:szCs w:val="24"/>
              </w:rPr>
            </w:pPr>
          </w:p>
        </w:tc>
        <w:tc>
          <w:tcPr>
            <w:tcW w:w="3969" w:type="dxa"/>
          </w:tcPr>
          <w:p w:rsidR="00A41953" w:rsidRPr="00A41953" w:rsidRDefault="00A41953" w:rsidP="00A41953">
            <w:pPr>
              <w:spacing w:after="200" w:line="240" w:lineRule="auto"/>
              <w:rPr>
                <w:rFonts w:eastAsia="Calibri" w:cs="Times New Roman"/>
                <w:szCs w:val="24"/>
              </w:rPr>
            </w:pPr>
          </w:p>
        </w:tc>
        <w:tc>
          <w:tcPr>
            <w:tcW w:w="3544" w:type="dxa"/>
          </w:tcPr>
          <w:p w:rsidR="00A41953" w:rsidRPr="00A41953" w:rsidRDefault="00A41953" w:rsidP="00A41953">
            <w:pPr>
              <w:spacing w:after="200" w:line="240" w:lineRule="auto"/>
              <w:rPr>
                <w:rFonts w:eastAsia="Calibri" w:cs="Times New Roman"/>
                <w:szCs w:val="24"/>
              </w:rPr>
            </w:pPr>
          </w:p>
        </w:tc>
      </w:tr>
      <w:tr w:rsidR="00A41953" w:rsidRPr="00A41953" w:rsidTr="00DA278B">
        <w:trPr>
          <w:trHeight w:val="445"/>
        </w:trPr>
        <w:tc>
          <w:tcPr>
            <w:tcW w:w="4390" w:type="dxa"/>
          </w:tcPr>
          <w:p w:rsidR="00A41953" w:rsidRPr="00A41953" w:rsidRDefault="00A41953" w:rsidP="00A41953">
            <w:pPr>
              <w:spacing w:after="200" w:line="240" w:lineRule="auto"/>
              <w:rPr>
                <w:rFonts w:eastAsia="Calibri" w:cs="Times New Roman"/>
                <w:szCs w:val="24"/>
                <w:lang w:eastAsia="lt-LT"/>
              </w:rPr>
            </w:pPr>
            <w:r w:rsidRPr="00A41953">
              <w:rPr>
                <w:rFonts w:eastAsia="Calibri" w:cs="Times New Roman"/>
                <w:szCs w:val="24"/>
                <w:lang w:eastAsia="lt-LT"/>
              </w:rPr>
              <w:t>2.2.2.Ugdymosi organizavimas</w:t>
            </w:r>
          </w:p>
        </w:tc>
        <w:tc>
          <w:tcPr>
            <w:tcW w:w="2929" w:type="dxa"/>
          </w:tcPr>
          <w:p w:rsidR="00A41953" w:rsidRPr="00A41953" w:rsidRDefault="00A41953" w:rsidP="00A41953">
            <w:pPr>
              <w:spacing w:after="200" w:line="240" w:lineRule="auto"/>
              <w:rPr>
                <w:rFonts w:eastAsia="Calibri" w:cs="Times New Roman"/>
                <w:szCs w:val="24"/>
                <w:lang w:eastAsia="lt-LT"/>
              </w:rPr>
            </w:pPr>
          </w:p>
        </w:tc>
        <w:tc>
          <w:tcPr>
            <w:tcW w:w="3969" w:type="dxa"/>
          </w:tcPr>
          <w:p w:rsidR="00A41953" w:rsidRPr="00A41953" w:rsidRDefault="00A41953" w:rsidP="00A41953">
            <w:pPr>
              <w:spacing w:after="200" w:line="240" w:lineRule="auto"/>
              <w:rPr>
                <w:rFonts w:eastAsia="Calibri" w:cs="Times New Roman"/>
                <w:szCs w:val="24"/>
                <w:lang w:eastAsia="lt-LT"/>
              </w:rPr>
            </w:pPr>
          </w:p>
        </w:tc>
        <w:tc>
          <w:tcPr>
            <w:tcW w:w="3544" w:type="dxa"/>
          </w:tcPr>
          <w:p w:rsidR="00A41953" w:rsidRPr="00A41953" w:rsidRDefault="00A41953" w:rsidP="00A41953">
            <w:pPr>
              <w:spacing w:after="200" w:line="240" w:lineRule="auto"/>
              <w:rPr>
                <w:rFonts w:eastAsia="Calibri" w:cs="Times New Roman"/>
                <w:szCs w:val="24"/>
              </w:rPr>
            </w:pPr>
          </w:p>
        </w:tc>
      </w:tr>
      <w:tr w:rsidR="00A41953" w:rsidRPr="00A41953" w:rsidTr="00DA278B">
        <w:trPr>
          <w:trHeight w:val="783"/>
        </w:trPr>
        <w:tc>
          <w:tcPr>
            <w:tcW w:w="4390" w:type="dxa"/>
          </w:tcPr>
          <w:p w:rsidR="00A41953" w:rsidRPr="00A41953" w:rsidRDefault="00A41953" w:rsidP="00A41953">
            <w:pPr>
              <w:spacing w:after="200" w:line="240" w:lineRule="auto"/>
              <w:rPr>
                <w:rFonts w:eastAsia="Calibri" w:cs="Times New Roman"/>
                <w:szCs w:val="24"/>
                <w:lang w:eastAsia="lt-LT"/>
              </w:rPr>
            </w:pPr>
            <w:r w:rsidRPr="00A41953">
              <w:rPr>
                <w:rFonts w:eastAsia="Calibri" w:cs="Times New Roman"/>
                <w:iCs/>
                <w:szCs w:val="24"/>
              </w:rPr>
              <w:lastRenderedPageBreak/>
              <w:t xml:space="preserve">Diferencijavimas, individualizavimas, suasmeninimas </w:t>
            </w:r>
          </w:p>
        </w:tc>
        <w:tc>
          <w:tcPr>
            <w:tcW w:w="2929" w:type="dxa"/>
          </w:tcPr>
          <w:p w:rsidR="00A41953" w:rsidRPr="00A41953" w:rsidRDefault="00A41953" w:rsidP="00A41953">
            <w:pPr>
              <w:spacing w:after="200" w:line="240" w:lineRule="auto"/>
              <w:rPr>
                <w:rFonts w:eastAsia="Calibri" w:cs="Times New Roman"/>
                <w:szCs w:val="24"/>
                <w:lang w:eastAsia="lt-LT"/>
              </w:rPr>
            </w:pPr>
          </w:p>
        </w:tc>
        <w:tc>
          <w:tcPr>
            <w:tcW w:w="3969" w:type="dxa"/>
          </w:tcPr>
          <w:p w:rsidR="00A41953" w:rsidRPr="00A41953" w:rsidRDefault="00A41953" w:rsidP="00A41953">
            <w:pPr>
              <w:spacing w:after="200" w:line="240" w:lineRule="auto"/>
              <w:rPr>
                <w:rFonts w:eastAsia="Calibri" w:cs="Times New Roman"/>
                <w:szCs w:val="24"/>
                <w:lang w:eastAsia="lt-LT"/>
              </w:rPr>
            </w:pPr>
          </w:p>
        </w:tc>
        <w:tc>
          <w:tcPr>
            <w:tcW w:w="3544" w:type="dxa"/>
          </w:tcPr>
          <w:p w:rsidR="00A41953" w:rsidRPr="00A41953" w:rsidRDefault="00A41953" w:rsidP="00A41953">
            <w:pPr>
              <w:spacing w:after="200" w:line="240" w:lineRule="auto"/>
              <w:rPr>
                <w:rFonts w:eastAsia="Calibri" w:cs="Times New Roman"/>
                <w:szCs w:val="24"/>
              </w:rPr>
            </w:pPr>
          </w:p>
        </w:tc>
      </w:tr>
      <w:tr w:rsidR="00A41953" w:rsidRPr="00A41953" w:rsidTr="00DA278B">
        <w:tc>
          <w:tcPr>
            <w:tcW w:w="4390" w:type="dxa"/>
          </w:tcPr>
          <w:p w:rsidR="00A41953" w:rsidRPr="00A41953" w:rsidRDefault="00A41953" w:rsidP="00A41953">
            <w:pPr>
              <w:spacing w:after="200" w:line="240" w:lineRule="auto"/>
              <w:jc w:val="center"/>
              <w:rPr>
                <w:rFonts w:eastAsia="Calibri" w:cs="Times New Roman"/>
                <w:iCs/>
                <w:szCs w:val="24"/>
              </w:rPr>
            </w:pPr>
            <w:r w:rsidRPr="00A41953">
              <w:rPr>
                <w:rFonts w:eastAsia="Calibri" w:cs="Times New Roman"/>
                <w:iCs/>
                <w:szCs w:val="24"/>
              </w:rPr>
              <w:t>4</w:t>
            </w:r>
          </w:p>
        </w:tc>
        <w:tc>
          <w:tcPr>
            <w:tcW w:w="2929" w:type="dxa"/>
          </w:tcPr>
          <w:p w:rsidR="00A41953" w:rsidRPr="00A41953" w:rsidRDefault="00A41953" w:rsidP="00A41953">
            <w:pPr>
              <w:spacing w:after="200" w:line="240" w:lineRule="auto"/>
              <w:jc w:val="center"/>
              <w:rPr>
                <w:rFonts w:eastAsia="Calibri" w:cs="Times New Roman"/>
                <w:szCs w:val="24"/>
                <w:lang w:eastAsia="lt-LT"/>
              </w:rPr>
            </w:pPr>
            <w:r w:rsidRPr="00A41953">
              <w:rPr>
                <w:rFonts w:eastAsia="Calibri" w:cs="Times New Roman"/>
                <w:szCs w:val="24"/>
                <w:lang w:eastAsia="lt-LT"/>
              </w:rPr>
              <w:t>3</w:t>
            </w:r>
          </w:p>
        </w:tc>
        <w:tc>
          <w:tcPr>
            <w:tcW w:w="3969" w:type="dxa"/>
          </w:tcPr>
          <w:p w:rsidR="00A41953" w:rsidRPr="00A41953" w:rsidRDefault="00A41953" w:rsidP="00A41953">
            <w:pPr>
              <w:spacing w:after="200" w:line="240" w:lineRule="auto"/>
              <w:jc w:val="center"/>
              <w:rPr>
                <w:rFonts w:eastAsia="Calibri" w:cs="Times New Roman"/>
                <w:szCs w:val="24"/>
                <w:lang w:eastAsia="lt-LT"/>
              </w:rPr>
            </w:pPr>
            <w:r w:rsidRPr="00A41953">
              <w:rPr>
                <w:rFonts w:eastAsia="Calibri" w:cs="Times New Roman"/>
                <w:szCs w:val="24"/>
                <w:lang w:eastAsia="lt-LT"/>
              </w:rPr>
              <w:t>2</w:t>
            </w:r>
          </w:p>
        </w:tc>
        <w:tc>
          <w:tcPr>
            <w:tcW w:w="3544" w:type="dxa"/>
          </w:tcPr>
          <w:p w:rsidR="00A41953" w:rsidRPr="00A41953" w:rsidRDefault="00A41953" w:rsidP="00A41953">
            <w:pPr>
              <w:spacing w:after="200" w:line="240" w:lineRule="auto"/>
              <w:jc w:val="center"/>
              <w:rPr>
                <w:rFonts w:eastAsia="Calibri" w:cs="Times New Roman"/>
                <w:szCs w:val="24"/>
              </w:rPr>
            </w:pPr>
            <w:r w:rsidRPr="00A41953">
              <w:rPr>
                <w:rFonts w:eastAsia="Calibri" w:cs="Times New Roman"/>
                <w:szCs w:val="24"/>
              </w:rPr>
              <w:t>1</w:t>
            </w:r>
          </w:p>
        </w:tc>
      </w:tr>
      <w:tr w:rsidR="00A41953" w:rsidRPr="00A41953" w:rsidTr="00DA278B">
        <w:tc>
          <w:tcPr>
            <w:tcW w:w="4390" w:type="dxa"/>
          </w:tcPr>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t>80 proc. ir daugiau mokytojų pripažįsta mokinių amžiaus tarpsnio, asmeninius ir ugdymosi poreikius, interesus, gebėjimus, mokymosi stilius, į kuriuos atsižvelgia organizuodami mokymą(si).</w:t>
            </w:r>
          </w:p>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t xml:space="preserve"> 90 proc. ir daugiau mokytojų taiko įvairius nenuolatinius mokinių pergrupavimo pagal jų mokymosi poreikius būdus. </w:t>
            </w:r>
          </w:p>
          <w:p w:rsidR="00A41953" w:rsidRPr="00A41953" w:rsidRDefault="00A41953" w:rsidP="00A41953">
            <w:pPr>
              <w:spacing w:after="200" w:line="240" w:lineRule="auto"/>
              <w:jc w:val="both"/>
              <w:rPr>
                <w:rFonts w:eastAsia="Calibri" w:cs="Times New Roman"/>
                <w:szCs w:val="24"/>
                <w:lang w:eastAsia="lt-LT"/>
              </w:rPr>
            </w:pPr>
          </w:p>
        </w:tc>
        <w:tc>
          <w:tcPr>
            <w:tcW w:w="2929" w:type="dxa"/>
          </w:tcPr>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t>Tarp 65 ir 79 proc. mokytojų mokytojų pripažįsta mokinių amžiaus tarpsnio, asmeninius ir ugdymosi poreikius, interesus, gebėjimus, mokymosi stilius, į kuriuos atsižvelgia organizuodami mokymą(si).</w:t>
            </w:r>
          </w:p>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t xml:space="preserve">Tarp 65 ir 89 proc mokytojų taiko įvairius nenuolatinius mokinių pergrupavimo pagal jų mokymosi poreikius būdus. </w:t>
            </w:r>
          </w:p>
          <w:p w:rsidR="00A41953" w:rsidRPr="00A41953" w:rsidRDefault="00A41953" w:rsidP="00A41953">
            <w:pPr>
              <w:spacing w:after="200" w:line="240" w:lineRule="auto"/>
              <w:rPr>
                <w:rFonts w:eastAsia="Calibri" w:cs="Times New Roman"/>
                <w:szCs w:val="24"/>
                <w:lang w:eastAsia="lt-LT"/>
              </w:rPr>
            </w:pPr>
          </w:p>
        </w:tc>
        <w:tc>
          <w:tcPr>
            <w:tcW w:w="3969" w:type="dxa"/>
          </w:tcPr>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t>Nuo 35 iki 64 proc. mokytojų  pripažįsta mokinių amžiaus tarpsnio, asmeninius ir ugdymosi poreikius, interesus, gebėjimus, mokymosi stilius, į kuriuos atsižvelgia organizuodami mokymą(si).</w:t>
            </w:r>
          </w:p>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t xml:space="preserve"> Nuo 35 iki 64 proc. mokytojų taiko įvairius nenuolatinius mokinių pergrupavimo pagal jų mokymosi poreikius būdus. </w:t>
            </w:r>
          </w:p>
          <w:p w:rsidR="00A41953" w:rsidRPr="00A41953" w:rsidRDefault="00A41953" w:rsidP="00A41953">
            <w:pPr>
              <w:spacing w:after="200" w:line="240" w:lineRule="auto"/>
              <w:rPr>
                <w:rFonts w:eastAsia="Calibri" w:cs="Times New Roman"/>
                <w:szCs w:val="24"/>
                <w:lang w:eastAsia="lt-LT"/>
              </w:rPr>
            </w:pPr>
          </w:p>
        </w:tc>
        <w:tc>
          <w:tcPr>
            <w:tcW w:w="3544" w:type="dxa"/>
          </w:tcPr>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t>Iki 34 proc. mokytojų pripažįsta mokinių amžiaus tarpsnio, asmeninius ir ugdymosi poreikius, interesus, gebėjimus, mokymosi stilius, į kuriuos atsižvelgia organizuodami mokymą(si).</w:t>
            </w:r>
          </w:p>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t xml:space="preserve"> Iki 34 proc. mokytojų taiko įvairius nenuolatinius mokinių pergrupavimo pagal jų mokymosi poreikius būdus. </w:t>
            </w:r>
          </w:p>
          <w:p w:rsidR="00A41953" w:rsidRPr="00A41953" w:rsidRDefault="00A41953" w:rsidP="00A41953">
            <w:pPr>
              <w:spacing w:after="200" w:line="240" w:lineRule="auto"/>
              <w:rPr>
                <w:rFonts w:eastAsia="Calibri" w:cs="Times New Roman"/>
                <w:szCs w:val="24"/>
              </w:rPr>
            </w:pPr>
          </w:p>
        </w:tc>
      </w:tr>
      <w:tr w:rsidR="00A41953" w:rsidRPr="00A41953" w:rsidTr="00DA278B">
        <w:tc>
          <w:tcPr>
            <w:tcW w:w="4390" w:type="dxa"/>
          </w:tcPr>
          <w:p w:rsidR="00A41953" w:rsidRPr="00A41953" w:rsidRDefault="00A41953" w:rsidP="00A41953">
            <w:pPr>
              <w:spacing w:after="200" w:line="240" w:lineRule="auto"/>
              <w:jc w:val="both"/>
              <w:rPr>
                <w:rFonts w:eastAsia="Calibri" w:cs="Times New Roman"/>
                <w:szCs w:val="24"/>
              </w:rPr>
            </w:pPr>
            <w:r w:rsidRPr="00A41953">
              <w:rPr>
                <w:rFonts w:eastAsia="Calibri" w:cs="Times New Roman"/>
                <w:iCs/>
                <w:szCs w:val="24"/>
              </w:rPr>
              <w:t>Ugdymo(si) integralumas</w:t>
            </w:r>
          </w:p>
        </w:tc>
        <w:tc>
          <w:tcPr>
            <w:tcW w:w="2929" w:type="dxa"/>
          </w:tcPr>
          <w:p w:rsidR="00A41953" w:rsidRPr="00A41953" w:rsidRDefault="00A41953" w:rsidP="00A41953">
            <w:pPr>
              <w:spacing w:after="200" w:line="240" w:lineRule="auto"/>
              <w:jc w:val="both"/>
              <w:rPr>
                <w:rFonts w:eastAsia="Calibri" w:cs="Times New Roman"/>
                <w:szCs w:val="24"/>
              </w:rPr>
            </w:pPr>
          </w:p>
        </w:tc>
        <w:tc>
          <w:tcPr>
            <w:tcW w:w="3969" w:type="dxa"/>
          </w:tcPr>
          <w:p w:rsidR="00A41953" w:rsidRPr="00A41953" w:rsidRDefault="00A41953" w:rsidP="00A41953">
            <w:pPr>
              <w:spacing w:after="200" w:line="240" w:lineRule="auto"/>
              <w:jc w:val="both"/>
              <w:rPr>
                <w:rFonts w:eastAsia="Calibri" w:cs="Times New Roman"/>
                <w:szCs w:val="24"/>
              </w:rPr>
            </w:pPr>
          </w:p>
        </w:tc>
        <w:tc>
          <w:tcPr>
            <w:tcW w:w="3544" w:type="dxa"/>
          </w:tcPr>
          <w:p w:rsidR="00A41953" w:rsidRPr="00A41953" w:rsidRDefault="00A41953" w:rsidP="00A41953">
            <w:pPr>
              <w:spacing w:after="200" w:line="240" w:lineRule="auto"/>
              <w:jc w:val="both"/>
              <w:rPr>
                <w:rFonts w:eastAsia="Calibri" w:cs="Times New Roman"/>
                <w:szCs w:val="24"/>
              </w:rPr>
            </w:pPr>
          </w:p>
        </w:tc>
      </w:tr>
      <w:tr w:rsidR="00A41953" w:rsidRPr="00A41953" w:rsidTr="00DA278B">
        <w:tc>
          <w:tcPr>
            <w:tcW w:w="4390" w:type="dxa"/>
          </w:tcPr>
          <w:p w:rsidR="00A41953" w:rsidRPr="00A41953" w:rsidRDefault="00A41953" w:rsidP="00A41953">
            <w:pPr>
              <w:spacing w:after="200" w:line="240" w:lineRule="auto"/>
              <w:jc w:val="center"/>
              <w:rPr>
                <w:rFonts w:eastAsia="Calibri" w:cs="Times New Roman"/>
                <w:iCs/>
                <w:szCs w:val="24"/>
              </w:rPr>
            </w:pPr>
            <w:r w:rsidRPr="00A41953">
              <w:rPr>
                <w:rFonts w:eastAsia="Calibri" w:cs="Times New Roman"/>
                <w:iCs/>
                <w:szCs w:val="24"/>
              </w:rPr>
              <w:t>4</w:t>
            </w:r>
          </w:p>
        </w:tc>
        <w:tc>
          <w:tcPr>
            <w:tcW w:w="2929" w:type="dxa"/>
          </w:tcPr>
          <w:p w:rsidR="00A41953" w:rsidRPr="00A41953" w:rsidRDefault="00A41953" w:rsidP="00A41953">
            <w:pPr>
              <w:spacing w:after="200" w:line="240" w:lineRule="auto"/>
              <w:jc w:val="center"/>
              <w:rPr>
                <w:rFonts w:eastAsia="Calibri" w:cs="Times New Roman"/>
                <w:szCs w:val="24"/>
                <w:lang w:eastAsia="lt-LT"/>
              </w:rPr>
            </w:pPr>
            <w:r w:rsidRPr="00A41953">
              <w:rPr>
                <w:rFonts w:eastAsia="Calibri" w:cs="Times New Roman"/>
                <w:szCs w:val="24"/>
                <w:lang w:eastAsia="lt-LT"/>
              </w:rPr>
              <w:t>3</w:t>
            </w:r>
          </w:p>
        </w:tc>
        <w:tc>
          <w:tcPr>
            <w:tcW w:w="3969" w:type="dxa"/>
          </w:tcPr>
          <w:p w:rsidR="00A41953" w:rsidRPr="00A41953" w:rsidRDefault="00A41953" w:rsidP="00A41953">
            <w:pPr>
              <w:spacing w:after="200" w:line="240" w:lineRule="auto"/>
              <w:jc w:val="center"/>
              <w:rPr>
                <w:rFonts w:eastAsia="Calibri" w:cs="Times New Roman"/>
                <w:szCs w:val="24"/>
                <w:lang w:eastAsia="lt-LT"/>
              </w:rPr>
            </w:pPr>
            <w:r w:rsidRPr="00A41953">
              <w:rPr>
                <w:rFonts w:eastAsia="Calibri" w:cs="Times New Roman"/>
                <w:szCs w:val="24"/>
                <w:lang w:eastAsia="lt-LT"/>
              </w:rPr>
              <w:t>2</w:t>
            </w:r>
          </w:p>
        </w:tc>
        <w:tc>
          <w:tcPr>
            <w:tcW w:w="3544" w:type="dxa"/>
          </w:tcPr>
          <w:p w:rsidR="00A41953" w:rsidRPr="00A41953" w:rsidRDefault="00A41953" w:rsidP="00A41953">
            <w:pPr>
              <w:spacing w:after="200" w:line="240" w:lineRule="auto"/>
              <w:jc w:val="center"/>
              <w:rPr>
                <w:rFonts w:eastAsia="Calibri" w:cs="Times New Roman"/>
                <w:szCs w:val="24"/>
              </w:rPr>
            </w:pPr>
            <w:r w:rsidRPr="00A41953">
              <w:rPr>
                <w:rFonts w:eastAsia="Calibri" w:cs="Times New Roman"/>
                <w:szCs w:val="24"/>
              </w:rPr>
              <w:t>1</w:t>
            </w:r>
          </w:p>
        </w:tc>
      </w:tr>
      <w:tr w:rsidR="00A41953" w:rsidRPr="00A41953" w:rsidTr="00DA278B">
        <w:tc>
          <w:tcPr>
            <w:tcW w:w="4390" w:type="dxa"/>
          </w:tcPr>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t>80 proc. ir daugiau mokytojų pripažįsta mokinių amžiaus tarpsnio, asmeninius ir ugdymosi poreikius, interesus, gebėjimus, mokymosi stilius, į kuriuos atsižvelgia organizuodami mokymą(si).</w:t>
            </w:r>
          </w:p>
          <w:p w:rsidR="00A41953" w:rsidRPr="00A41953" w:rsidRDefault="00A41953" w:rsidP="00A41953">
            <w:pPr>
              <w:spacing w:after="200" w:line="240" w:lineRule="auto"/>
              <w:rPr>
                <w:rFonts w:eastAsia="Calibri" w:cs="Times New Roman"/>
                <w:iCs/>
                <w:szCs w:val="24"/>
              </w:rPr>
            </w:pPr>
            <w:r w:rsidRPr="00A41953">
              <w:rPr>
                <w:rFonts w:eastAsia="Calibri" w:cs="Times New Roman"/>
                <w:szCs w:val="24"/>
              </w:rPr>
              <w:t xml:space="preserve"> 90 proc. ir daugiau mokytojų taiko įvairius nenuolatinius mokinių pergrupavimo pagal jų mokymosi poreikius būdus.</w:t>
            </w:r>
          </w:p>
        </w:tc>
        <w:tc>
          <w:tcPr>
            <w:tcW w:w="2929" w:type="dxa"/>
          </w:tcPr>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t xml:space="preserve">Tarp 65 ir 79 proc mokytojų siekia prasmingos integracijos, mokymosi patirčių tarpdiscipliniškumo. Mokyklos ugdymo programų turinys integruojamas taikant dalyko vidinę ir </w:t>
            </w:r>
            <w:r w:rsidRPr="00A41953">
              <w:rPr>
                <w:rFonts w:eastAsia="Calibri" w:cs="Times New Roman"/>
                <w:szCs w:val="24"/>
              </w:rPr>
              <w:lastRenderedPageBreak/>
              <w:t xml:space="preserve">tarpdalykinę integraciją, prioritetinių ugdymo(si) siekių (sveikos gyvensenos, saugos, karjeros ugdymo ir pan.) integravimą į bendrojo ugdymo dalykų bei neformaliojo ugdymo turinį. </w:t>
            </w:r>
          </w:p>
        </w:tc>
        <w:tc>
          <w:tcPr>
            <w:tcW w:w="3969" w:type="dxa"/>
          </w:tcPr>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lastRenderedPageBreak/>
              <w:t xml:space="preserve">Nuo 35 iki 64 proc. mokytojų siekia prasmingos integracijos, mokymosi patirčių tarpdiscipliniškumo. Mokyklos ugdymo programų turinys integruojamas taikant dalyko vidinę ir tarpdalykinę integraciją, prioritetinių ugdymo(si) siekių (sveikos gyvensenos, saugos, karjeros ugdymo ir pan.) integravimą į bendrojo </w:t>
            </w:r>
            <w:r w:rsidRPr="00A41953">
              <w:rPr>
                <w:rFonts w:eastAsia="Calibri" w:cs="Times New Roman"/>
                <w:szCs w:val="24"/>
              </w:rPr>
              <w:lastRenderedPageBreak/>
              <w:t xml:space="preserve">ugdymo dalykų bei neformaliojo ugdymo turinį. </w:t>
            </w:r>
          </w:p>
          <w:p w:rsidR="00A41953" w:rsidRPr="00A41953" w:rsidRDefault="00A41953" w:rsidP="00A41953">
            <w:pPr>
              <w:spacing w:after="200" w:line="240" w:lineRule="auto"/>
              <w:jc w:val="both"/>
              <w:rPr>
                <w:rFonts w:eastAsia="Calibri" w:cs="Times New Roman"/>
                <w:szCs w:val="24"/>
              </w:rPr>
            </w:pPr>
          </w:p>
        </w:tc>
        <w:tc>
          <w:tcPr>
            <w:tcW w:w="3544" w:type="dxa"/>
          </w:tcPr>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lastRenderedPageBreak/>
              <w:t xml:space="preserve">Iki 34 proc. mokytojų siekia prasmingos integracijos, mokymosi patirčių tarpdiscipliniškumo. Mokyklos ugdymo programų turinys integruojamas taikant dalyko vidinę ir tarpdalykinę integraciją, prioritetinių ugdymo(si) siekių (sveikos gyvensenos, saugos, </w:t>
            </w:r>
            <w:r w:rsidRPr="00A41953">
              <w:rPr>
                <w:rFonts w:eastAsia="Calibri" w:cs="Times New Roman"/>
                <w:szCs w:val="24"/>
              </w:rPr>
              <w:lastRenderedPageBreak/>
              <w:t xml:space="preserve">karjeros ugdymo ir pan.) integravimą į bendrojo ugdymo dalykų bei neformaliojo ugdymo turinį. </w:t>
            </w:r>
          </w:p>
          <w:p w:rsidR="00A41953" w:rsidRPr="00A41953" w:rsidRDefault="00A41953" w:rsidP="00A41953">
            <w:pPr>
              <w:spacing w:after="200" w:line="240" w:lineRule="auto"/>
              <w:jc w:val="both"/>
              <w:rPr>
                <w:rFonts w:eastAsia="Calibri" w:cs="Times New Roman"/>
                <w:szCs w:val="24"/>
              </w:rPr>
            </w:pPr>
          </w:p>
        </w:tc>
      </w:tr>
      <w:tr w:rsidR="00A41953" w:rsidRPr="00A41953" w:rsidTr="00DA278B">
        <w:trPr>
          <w:trHeight w:val="441"/>
        </w:trPr>
        <w:tc>
          <w:tcPr>
            <w:tcW w:w="4390" w:type="dxa"/>
          </w:tcPr>
          <w:p w:rsidR="00A41953" w:rsidRPr="00A41953" w:rsidRDefault="00A41953" w:rsidP="00A41953">
            <w:pPr>
              <w:spacing w:after="200" w:line="240" w:lineRule="auto"/>
              <w:rPr>
                <w:rFonts w:eastAsia="Calibri" w:cs="Times New Roman"/>
                <w:iCs/>
                <w:szCs w:val="24"/>
              </w:rPr>
            </w:pPr>
            <w:r w:rsidRPr="00A41953">
              <w:rPr>
                <w:rFonts w:eastAsia="Calibri" w:cs="Times New Roman"/>
                <w:iCs/>
                <w:szCs w:val="24"/>
              </w:rPr>
              <w:lastRenderedPageBreak/>
              <w:t>Klasės valdymas</w:t>
            </w:r>
          </w:p>
        </w:tc>
        <w:tc>
          <w:tcPr>
            <w:tcW w:w="2929" w:type="dxa"/>
          </w:tcPr>
          <w:p w:rsidR="00A41953" w:rsidRPr="00A41953" w:rsidRDefault="00A41953" w:rsidP="00A41953">
            <w:pPr>
              <w:spacing w:after="200" w:line="240" w:lineRule="auto"/>
              <w:jc w:val="both"/>
              <w:rPr>
                <w:rFonts w:eastAsia="Calibri" w:cs="Times New Roman"/>
                <w:szCs w:val="24"/>
              </w:rPr>
            </w:pPr>
          </w:p>
        </w:tc>
        <w:tc>
          <w:tcPr>
            <w:tcW w:w="3969" w:type="dxa"/>
          </w:tcPr>
          <w:p w:rsidR="00A41953" w:rsidRPr="00A41953" w:rsidRDefault="00A41953" w:rsidP="00A41953">
            <w:pPr>
              <w:spacing w:after="200" w:line="240" w:lineRule="auto"/>
              <w:jc w:val="both"/>
              <w:rPr>
                <w:rFonts w:eastAsia="Calibri" w:cs="Times New Roman"/>
                <w:szCs w:val="24"/>
              </w:rPr>
            </w:pPr>
          </w:p>
        </w:tc>
        <w:tc>
          <w:tcPr>
            <w:tcW w:w="3544" w:type="dxa"/>
          </w:tcPr>
          <w:p w:rsidR="00A41953" w:rsidRPr="00A41953" w:rsidRDefault="00A41953" w:rsidP="00A41953">
            <w:pPr>
              <w:spacing w:after="200" w:line="240" w:lineRule="auto"/>
              <w:jc w:val="both"/>
              <w:rPr>
                <w:rFonts w:eastAsia="Calibri" w:cs="Times New Roman"/>
                <w:szCs w:val="24"/>
              </w:rPr>
            </w:pPr>
          </w:p>
        </w:tc>
      </w:tr>
      <w:tr w:rsidR="00A41953" w:rsidRPr="00A41953" w:rsidTr="00DA278B">
        <w:tc>
          <w:tcPr>
            <w:tcW w:w="4390" w:type="dxa"/>
          </w:tcPr>
          <w:p w:rsidR="00A41953" w:rsidRPr="00A41953" w:rsidRDefault="00A41953" w:rsidP="00A41953">
            <w:pPr>
              <w:spacing w:after="200" w:line="240" w:lineRule="auto"/>
              <w:jc w:val="center"/>
              <w:rPr>
                <w:rFonts w:eastAsia="Calibri" w:cs="Times New Roman"/>
                <w:iCs/>
                <w:szCs w:val="24"/>
              </w:rPr>
            </w:pPr>
            <w:r w:rsidRPr="00A41953">
              <w:rPr>
                <w:rFonts w:eastAsia="Calibri" w:cs="Times New Roman"/>
                <w:iCs/>
                <w:szCs w:val="24"/>
              </w:rPr>
              <w:t>4</w:t>
            </w:r>
          </w:p>
        </w:tc>
        <w:tc>
          <w:tcPr>
            <w:tcW w:w="2929" w:type="dxa"/>
          </w:tcPr>
          <w:p w:rsidR="00A41953" w:rsidRPr="00A41953" w:rsidRDefault="00A41953" w:rsidP="00A41953">
            <w:pPr>
              <w:spacing w:after="200" w:line="240" w:lineRule="auto"/>
              <w:jc w:val="center"/>
              <w:rPr>
                <w:rFonts w:eastAsia="Calibri" w:cs="Times New Roman"/>
                <w:szCs w:val="24"/>
                <w:lang w:eastAsia="lt-LT"/>
              </w:rPr>
            </w:pPr>
            <w:r w:rsidRPr="00A41953">
              <w:rPr>
                <w:rFonts w:eastAsia="Calibri" w:cs="Times New Roman"/>
                <w:szCs w:val="24"/>
                <w:lang w:eastAsia="lt-LT"/>
              </w:rPr>
              <w:t>3</w:t>
            </w:r>
          </w:p>
        </w:tc>
        <w:tc>
          <w:tcPr>
            <w:tcW w:w="3969" w:type="dxa"/>
          </w:tcPr>
          <w:p w:rsidR="00A41953" w:rsidRPr="00A41953" w:rsidRDefault="00A41953" w:rsidP="00A41953">
            <w:pPr>
              <w:spacing w:after="200" w:line="240" w:lineRule="auto"/>
              <w:jc w:val="center"/>
              <w:rPr>
                <w:rFonts w:eastAsia="Calibri" w:cs="Times New Roman"/>
                <w:szCs w:val="24"/>
                <w:lang w:eastAsia="lt-LT"/>
              </w:rPr>
            </w:pPr>
            <w:r w:rsidRPr="00A41953">
              <w:rPr>
                <w:rFonts w:eastAsia="Calibri" w:cs="Times New Roman"/>
                <w:szCs w:val="24"/>
                <w:lang w:eastAsia="lt-LT"/>
              </w:rPr>
              <w:t>2</w:t>
            </w:r>
          </w:p>
        </w:tc>
        <w:tc>
          <w:tcPr>
            <w:tcW w:w="3544" w:type="dxa"/>
          </w:tcPr>
          <w:p w:rsidR="00A41953" w:rsidRPr="00A41953" w:rsidRDefault="00A41953" w:rsidP="00A41953">
            <w:pPr>
              <w:spacing w:after="200" w:line="240" w:lineRule="auto"/>
              <w:jc w:val="center"/>
              <w:rPr>
                <w:rFonts w:eastAsia="Calibri" w:cs="Times New Roman"/>
                <w:szCs w:val="24"/>
              </w:rPr>
            </w:pPr>
            <w:r w:rsidRPr="00A41953">
              <w:rPr>
                <w:rFonts w:eastAsia="Calibri" w:cs="Times New Roman"/>
                <w:szCs w:val="24"/>
              </w:rPr>
              <w:t>1</w:t>
            </w:r>
          </w:p>
        </w:tc>
      </w:tr>
      <w:tr w:rsidR="00A41953" w:rsidRPr="00A41953" w:rsidTr="00DA278B">
        <w:tc>
          <w:tcPr>
            <w:tcW w:w="4390" w:type="dxa"/>
          </w:tcPr>
          <w:p w:rsidR="00A41953" w:rsidRPr="00A41953" w:rsidRDefault="00A41953" w:rsidP="00A41953">
            <w:pPr>
              <w:spacing w:after="200" w:line="240" w:lineRule="auto"/>
              <w:jc w:val="both"/>
              <w:rPr>
                <w:rFonts w:eastAsia="Calibri" w:cs="Times New Roman"/>
                <w:iCs/>
                <w:szCs w:val="24"/>
              </w:rPr>
            </w:pPr>
            <w:r w:rsidRPr="00A41953">
              <w:rPr>
                <w:rFonts w:eastAsia="Calibri" w:cs="Times New Roman"/>
                <w:szCs w:val="24"/>
              </w:rPr>
              <w:t xml:space="preserve">80 proc. ir daugiau mokytojų mokinių elgesį valdo aiškiomis, sutartomis  taisyklėmis ir procedūromis, asmeniniu mokinio įsipareigojimu, socialiniu emociniu ugdymu, pageidaujamo elgesio skatinimu, asmeniniu mokytojo pavyzdžiu. </w:t>
            </w:r>
          </w:p>
        </w:tc>
        <w:tc>
          <w:tcPr>
            <w:tcW w:w="2929" w:type="dxa"/>
          </w:tcPr>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t>Tarp 65 ir 79 proc mokytojų mokinių elgesį valdo aiškiomis, sutartomis  taisyklėmis ir procedūromis, asmeniniu mokinio įsipareigojimu, socialiniu emociniu ugdymu, pageidaujamo elgesio skatinimu, asmeniniu mokytojo pavyzdžiu.</w:t>
            </w:r>
          </w:p>
        </w:tc>
        <w:tc>
          <w:tcPr>
            <w:tcW w:w="3969" w:type="dxa"/>
          </w:tcPr>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t>Nuo 35 iki 64 proc. mokytojų mokinių elgesį valdo aiškiomis, sutartomis  taisyklėmis ir procedūromis, asmeniniu mokinio įsipareigojimu, socialiniu emociniu ugdymu, pageidaujamo elgesio skatinimu, asmeniniu mokytojo pavyzdžiu.</w:t>
            </w:r>
          </w:p>
        </w:tc>
        <w:tc>
          <w:tcPr>
            <w:tcW w:w="3544" w:type="dxa"/>
          </w:tcPr>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t>Iki 34 proc. mokytojų mokinių elgesį valdo aiškiomis, sutartomis  taisyklėmis ir procedūromis, asmeniniu mokinio įsipareigojimu, socialiniu emociniu ugdymu, pageidaujamo elgesio skatinimu, asmeniniu mokytojo pavyzdžiu.</w:t>
            </w:r>
          </w:p>
        </w:tc>
      </w:tr>
      <w:tr w:rsidR="00A41953" w:rsidRPr="00A41953" w:rsidTr="00DA278B">
        <w:tc>
          <w:tcPr>
            <w:tcW w:w="4390" w:type="dxa"/>
          </w:tcPr>
          <w:p w:rsidR="00A41953" w:rsidRPr="00A41953" w:rsidRDefault="00A41953" w:rsidP="00A41953">
            <w:pPr>
              <w:spacing w:after="200" w:line="240" w:lineRule="auto"/>
              <w:jc w:val="both"/>
              <w:rPr>
                <w:rFonts w:eastAsia="Calibri" w:cs="Times New Roman"/>
                <w:szCs w:val="24"/>
              </w:rPr>
            </w:pPr>
            <w:r w:rsidRPr="00A41953">
              <w:rPr>
                <w:rFonts w:eastAsia="Calibri" w:cs="Times New Roman"/>
                <w:bCs/>
                <w:szCs w:val="24"/>
              </w:rPr>
              <w:t>2.3.</w:t>
            </w:r>
            <w:r w:rsidRPr="00A41953">
              <w:rPr>
                <w:rFonts w:eastAsia="Calibri" w:cs="Times New Roman"/>
                <w:bCs/>
                <w:caps/>
                <w:szCs w:val="24"/>
              </w:rPr>
              <w:t xml:space="preserve"> </w:t>
            </w:r>
            <w:r w:rsidRPr="00A41953">
              <w:rPr>
                <w:rFonts w:eastAsia="Calibri" w:cs="Times New Roman"/>
                <w:bCs/>
                <w:szCs w:val="24"/>
              </w:rPr>
              <w:t>Mokymosi patirtys</w:t>
            </w:r>
          </w:p>
        </w:tc>
        <w:tc>
          <w:tcPr>
            <w:tcW w:w="2929" w:type="dxa"/>
          </w:tcPr>
          <w:p w:rsidR="00A41953" w:rsidRPr="00A41953" w:rsidRDefault="00A41953" w:rsidP="00A41953">
            <w:pPr>
              <w:spacing w:after="200" w:line="240" w:lineRule="auto"/>
              <w:jc w:val="both"/>
              <w:rPr>
                <w:rFonts w:eastAsia="Calibri" w:cs="Times New Roman"/>
                <w:szCs w:val="24"/>
              </w:rPr>
            </w:pPr>
          </w:p>
        </w:tc>
        <w:tc>
          <w:tcPr>
            <w:tcW w:w="3969" w:type="dxa"/>
          </w:tcPr>
          <w:p w:rsidR="00A41953" w:rsidRPr="00A41953" w:rsidRDefault="00A41953" w:rsidP="00A41953">
            <w:pPr>
              <w:spacing w:after="200" w:line="240" w:lineRule="auto"/>
              <w:jc w:val="both"/>
              <w:rPr>
                <w:rFonts w:eastAsia="Calibri" w:cs="Times New Roman"/>
                <w:szCs w:val="24"/>
              </w:rPr>
            </w:pPr>
          </w:p>
        </w:tc>
        <w:tc>
          <w:tcPr>
            <w:tcW w:w="3544" w:type="dxa"/>
          </w:tcPr>
          <w:p w:rsidR="00A41953" w:rsidRPr="00A41953" w:rsidRDefault="00A41953" w:rsidP="00A41953">
            <w:pPr>
              <w:spacing w:after="200" w:line="240" w:lineRule="auto"/>
              <w:jc w:val="both"/>
              <w:rPr>
                <w:rFonts w:eastAsia="Calibri" w:cs="Times New Roman"/>
                <w:szCs w:val="24"/>
              </w:rPr>
            </w:pPr>
          </w:p>
        </w:tc>
      </w:tr>
      <w:tr w:rsidR="00A41953" w:rsidRPr="00A41953" w:rsidTr="00DA278B">
        <w:tc>
          <w:tcPr>
            <w:tcW w:w="4390" w:type="dxa"/>
          </w:tcPr>
          <w:p w:rsidR="00A41953" w:rsidRPr="00A41953" w:rsidRDefault="00A41953" w:rsidP="00A41953">
            <w:pPr>
              <w:spacing w:after="200" w:line="240" w:lineRule="auto"/>
              <w:rPr>
                <w:rFonts w:eastAsia="Calibri" w:cs="Times New Roman"/>
                <w:bCs/>
                <w:szCs w:val="24"/>
              </w:rPr>
            </w:pPr>
            <w:r w:rsidRPr="00A41953">
              <w:rPr>
                <w:rFonts w:eastAsia="Calibri" w:cs="Times New Roman"/>
                <w:bCs/>
                <w:szCs w:val="24"/>
              </w:rPr>
              <w:t>2.3.1. Mokymasis</w:t>
            </w:r>
          </w:p>
        </w:tc>
        <w:tc>
          <w:tcPr>
            <w:tcW w:w="2929" w:type="dxa"/>
          </w:tcPr>
          <w:p w:rsidR="00A41953" w:rsidRPr="00A41953" w:rsidRDefault="00A41953" w:rsidP="00A41953">
            <w:pPr>
              <w:spacing w:after="200" w:line="240" w:lineRule="auto"/>
              <w:jc w:val="both"/>
              <w:rPr>
                <w:rFonts w:eastAsia="Calibri" w:cs="Times New Roman"/>
                <w:szCs w:val="24"/>
              </w:rPr>
            </w:pPr>
          </w:p>
        </w:tc>
        <w:tc>
          <w:tcPr>
            <w:tcW w:w="3969" w:type="dxa"/>
          </w:tcPr>
          <w:p w:rsidR="00A41953" w:rsidRPr="00A41953" w:rsidRDefault="00A41953" w:rsidP="00A41953">
            <w:pPr>
              <w:spacing w:after="200" w:line="240" w:lineRule="auto"/>
              <w:jc w:val="both"/>
              <w:rPr>
                <w:rFonts w:eastAsia="Calibri" w:cs="Times New Roman"/>
                <w:szCs w:val="24"/>
              </w:rPr>
            </w:pPr>
          </w:p>
        </w:tc>
        <w:tc>
          <w:tcPr>
            <w:tcW w:w="3544" w:type="dxa"/>
          </w:tcPr>
          <w:p w:rsidR="00A41953" w:rsidRPr="00A41953" w:rsidRDefault="00A41953" w:rsidP="00A41953">
            <w:pPr>
              <w:spacing w:after="200" w:line="240" w:lineRule="auto"/>
              <w:jc w:val="both"/>
              <w:rPr>
                <w:rFonts w:eastAsia="Calibri" w:cs="Times New Roman"/>
                <w:szCs w:val="24"/>
              </w:rPr>
            </w:pPr>
          </w:p>
        </w:tc>
      </w:tr>
      <w:tr w:rsidR="00A41953" w:rsidRPr="00A41953" w:rsidTr="00DA278B">
        <w:tc>
          <w:tcPr>
            <w:tcW w:w="4390" w:type="dxa"/>
          </w:tcPr>
          <w:p w:rsidR="00A41953" w:rsidRPr="00A41953" w:rsidRDefault="00A41953" w:rsidP="00A41953">
            <w:pPr>
              <w:spacing w:after="200" w:line="240" w:lineRule="auto"/>
              <w:rPr>
                <w:rFonts w:eastAsia="Calibri" w:cs="Times New Roman"/>
                <w:bCs/>
                <w:szCs w:val="24"/>
              </w:rPr>
            </w:pPr>
            <w:r w:rsidRPr="00A41953">
              <w:rPr>
                <w:rFonts w:eastAsia="Calibri" w:cs="Times New Roman"/>
                <w:iCs/>
                <w:szCs w:val="24"/>
              </w:rPr>
              <w:t>Savivaldumas mokantis</w:t>
            </w:r>
          </w:p>
        </w:tc>
        <w:tc>
          <w:tcPr>
            <w:tcW w:w="2929" w:type="dxa"/>
          </w:tcPr>
          <w:p w:rsidR="00A41953" w:rsidRPr="00A41953" w:rsidRDefault="00A41953" w:rsidP="00A41953">
            <w:pPr>
              <w:spacing w:after="200" w:line="240" w:lineRule="auto"/>
              <w:jc w:val="both"/>
              <w:rPr>
                <w:rFonts w:eastAsia="Calibri" w:cs="Times New Roman"/>
                <w:szCs w:val="24"/>
              </w:rPr>
            </w:pPr>
          </w:p>
        </w:tc>
        <w:tc>
          <w:tcPr>
            <w:tcW w:w="3969" w:type="dxa"/>
          </w:tcPr>
          <w:p w:rsidR="00A41953" w:rsidRPr="00A41953" w:rsidRDefault="00A41953" w:rsidP="00A41953">
            <w:pPr>
              <w:spacing w:after="200" w:line="240" w:lineRule="auto"/>
              <w:jc w:val="both"/>
              <w:rPr>
                <w:rFonts w:eastAsia="Calibri" w:cs="Times New Roman"/>
                <w:szCs w:val="24"/>
              </w:rPr>
            </w:pPr>
          </w:p>
        </w:tc>
        <w:tc>
          <w:tcPr>
            <w:tcW w:w="3544" w:type="dxa"/>
          </w:tcPr>
          <w:p w:rsidR="00A41953" w:rsidRPr="00A41953" w:rsidRDefault="00A41953" w:rsidP="00A41953">
            <w:pPr>
              <w:spacing w:after="200" w:line="240" w:lineRule="auto"/>
              <w:jc w:val="both"/>
              <w:rPr>
                <w:rFonts w:eastAsia="Calibri" w:cs="Times New Roman"/>
                <w:szCs w:val="24"/>
              </w:rPr>
            </w:pPr>
          </w:p>
        </w:tc>
      </w:tr>
      <w:tr w:rsidR="00A41953" w:rsidRPr="00A41953" w:rsidTr="00DA278B">
        <w:tc>
          <w:tcPr>
            <w:tcW w:w="4390" w:type="dxa"/>
          </w:tcPr>
          <w:p w:rsidR="00A41953" w:rsidRPr="00A41953" w:rsidRDefault="00A41953" w:rsidP="00A41953">
            <w:pPr>
              <w:spacing w:after="200" w:line="240" w:lineRule="auto"/>
              <w:jc w:val="center"/>
              <w:rPr>
                <w:rFonts w:eastAsia="Calibri" w:cs="Times New Roman"/>
                <w:iCs/>
                <w:szCs w:val="24"/>
              </w:rPr>
            </w:pPr>
            <w:r w:rsidRPr="00A41953">
              <w:rPr>
                <w:rFonts w:eastAsia="Calibri" w:cs="Times New Roman"/>
                <w:iCs/>
                <w:szCs w:val="24"/>
              </w:rPr>
              <w:t>4</w:t>
            </w:r>
          </w:p>
        </w:tc>
        <w:tc>
          <w:tcPr>
            <w:tcW w:w="2929" w:type="dxa"/>
          </w:tcPr>
          <w:p w:rsidR="00A41953" w:rsidRPr="00A41953" w:rsidRDefault="00A41953" w:rsidP="00A41953">
            <w:pPr>
              <w:spacing w:after="200" w:line="240" w:lineRule="auto"/>
              <w:jc w:val="center"/>
              <w:rPr>
                <w:rFonts w:eastAsia="Calibri" w:cs="Times New Roman"/>
                <w:szCs w:val="24"/>
                <w:lang w:eastAsia="lt-LT"/>
              </w:rPr>
            </w:pPr>
            <w:r w:rsidRPr="00A41953">
              <w:rPr>
                <w:rFonts w:eastAsia="Calibri" w:cs="Times New Roman"/>
                <w:szCs w:val="24"/>
                <w:lang w:eastAsia="lt-LT"/>
              </w:rPr>
              <w:t>3</w:t>
            </w:r>
          </w:p>
        </w:tc>
        <w:tc>
          <w:tcPr>
            <w:tcW w:w="3969" w:type="dxa"/>
          </w:tcPr>
          <w:p w:rsidR="00A41953" w:rsidRPr="00A41953" w:rsidRDefault="00A41953" w:rsidP="00A41953">
            <w:pPr>
              <w:spacing w:after="200" w:line="240" w:lineRule="auto"/>
              <w:jc w:val="center"/>
              <w:rPr>
                <w:rFonts w:eastAsia="Calibri" w:cs="Times New Roman"/>
                <w:szCs w:val="24"/>
                <w:lang w:eastAsia="lt-LT"/>
              </w:rPr>
            </w:pPr>
            <w:r w:rsidRPr="00A41953">
              <w:rPr>
                <w:rFonts w:eastAsia="Calibri" w:cs="Times New Roman"/>
                <w:szCs w:val="24"/>
                <w:lang w:eastAsia="lt-LT"/>
              </w:rPr>
              <w:t>2</w:t>
            </w:r>
          </w:p>
        </w:tc>
        <w:tc>
          <w:tcPr>
            <w:tcW w:w="3544" w:type="dxa"/>
          </w:tcPr>
          <w:p w:rsidR="00A41953" w:rsidRPr="00A41953" w:rsidRDefault="00A41953" w:rsidP="00A41953">
            <w:pPr>
              <w:spacing w:after="200" w:line="240" w:lineRule="auto"/>
              <w:jc w:val="center"/>
              <w:rPr>
                <w:rFonts w:eastAsia="Calibri" w:cs="Times New Roman"/>
                <w:szCs w:val="24"/>
              </w:rPr>
            </w:pPr>
            <w:r w:rsidRPr="00A41953">
              <w:rPr>
                <w:rFonts w:eastAsia="Calibri" w:cs="Times New Roman"/>
                <w:szCs w:val="24"/>
              </w:rPr>
              <w:t>1</w:t>
            </w:r>
          </w:p>
        </w:tc>
      </w:tr>
      <w:tr w:rsidR="00A41953" w:rsidRPr="00A41953" w:rsidTr="00DA278B">
        <w:tc>
          <w:tcPr>
            <w:tcW w:w="4390" w:type="dxa"/>
          </w:tcPr>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t xml:space="preserve">80 proc. ir daugiau mokinių padedant mokytojui geba išsikelti mokymosi tikslus, savarankiškai pasirinkti užduočių atlikimo </w:t>
            </w:r>
            <w:r w:rsidRPr="00A41953">
              <w:rPr>
                <w:rFonts w:eastAsia="Calibri" w:cs="Times New Roman"/>
                <w:szCs w:val="24"/>
              </w:rPr>
              <w:lastRenderedPageBreak/>
              <w:t xml:space="preserve">būdą, susirasti reikiamą informaciją ir priemones, klausti ir paprašyti pagalbos, aptarti ir vertinti savo mokymąsi, planuoti ir valdyti laiką. </w:t>
            </w:r>
          </w:p>
          <w:p w:rsidR="00A41953" w:rsidRPr="00A41953" w:rsidRDefault="00A41953" w:rsidP="00A41953">
            <w:pPr>
              <w:spacing w:after="200" w:line="240" w:lineRule="auto"/>
              <w:rPr>
                <w:rFonts w:eastAsia="Calibri" w:cs="Times New Roman"/>
                <w:bCs/>
                <w:szCs w:val="24"/>
              </w:rPr>
            </w:pPr>
          </w:p>
        </w:tc>
        <w:tc>
          <w:tcPr>
            <w:tcW w:w="2929" w:type="dxa"/>
          </w:tcPr>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lastRenderedPageBreak/>
              <w:t xml:space="preserve">Tarp 65 ir 79 proc. mokinių padedant mokytojui geba išsikelti mokymosi tikslus, </w:t>
            </w:r>
            <w:r w:rsidRPr="00A41953">
              <w:rPr>
                <w:rFonts w:eastAsia="Calibri" w:cs="Times New Roman"/>
                <w:szCs w:val="24"/>
              </w:rPr>
              <w:lastRenderedPageBreak/>
              <w:t xml:space="preserve">savarankiškai pasirinkti užduočių atlikimo būdą, susirasti reikiamą informaciją ir priemones, klausti ir paprašyti pagalbos, aptarti ir vertinti savo mokymąsi, planuoti ir valdyti laiką. </w:t>
            </w:r>
          </w:p>
          <w:p w:rsidR="00A41953" w:rsidRPr="00A41953" w:rsidRDefault="00A41953" w:rsidP="00A41953">
            <w:pPr>
              <w:spacing w:after="200" w:line="240" w:lineRule="auto"/>
              <w:jc w:val="both"/>
              <w:rPr>
                <w:rFonts w:eastAsia="Calibri" w:cs="Times New Roman"/>
                <w:szCs w:val="24"/>
              </w:rPr>
            </w:pPr>
          </w:p>
        </w:tc>
        <w:tc>
          <w:tcPr>
            <w:tcW w:w="3969" w:type="dxa"/>
          </w:tcPr>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lastRenderedPageBreak/>
              <w:t xml:space="preserve">Nuo 35 iki 64 proc. mokinių padedant mokytojui geba išsikelti mokymosi tikslus, savarankiškai pasirinkti </w:t>
            </w:r>
            <w:r w:rsidRPr="00A41953">
              <w:rPr>
                <w:rFonts w:eastAsia="Calibri" w:cs="Times New Roman"/>
                <w:szCs w:val="24"/>
              </w:rPr>
              <w:lastRenderedPageBreak/>
              <w:t xml:space="preserve">užduočių atlikimo būdą, susirasti reikiamą informaciją ir priemones, klausti ir paprašyti pagalbos, aptarti ir vertinti savo mokymąsi, planuoti ir valdyti laiką. </w:t>
            </w:r>
          </w:p>
          <w:p w:rsidR="00A41953" w:rsidRPr="00A41953" w:rsidRDefault="00A41953" w:rsidP="00A41953">
            <w:pPr>
              <w:spacing w:after="200" w:line="240" w:lineRule="auto"/>
              <w:jc w:val="both"/>
              <w:rPr>
                <w:rFonts w:eastAsia="Calibri" w:cs="Times New Roman"/>
                <w:szCs w:val="24"/>
              </w:rPr>
            </w:pPr>
          </w:p>
        </w:tc>
        <w:tc>
          <w:tcPr>
            <w:tcW w:w="3544" w:type="dxa"/>
          </w:tcPr>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lastRenderedPageBreak/>
              <w:t xml:space="preserve">Iki 34 proc. mokinių padedant mokytojui mokiniai geba išsikelti mokymosi tikslus, savarankiškai </w:t>
            </w:r>
            <w:r w:rsidRPr="00A41953">
              <w:rPr>
                <w:rFonts w:eastAsia="Calibri" w:cs="Times New Roman"/>
                <w:szCs w:val="24"/>
              </w:rPr>
              <w:lastRenderedPageBreak/>
              <w:t xml:space="preserve">pasirinkti užduočių atlikimo būdą, susirasti reikiamą informaciją ir priemones, klausti ir paprašyti pagalbos, aptarti ir vertinti savo mokymąsi, planuoti ir valdyti laiką. </w:t>
            </w:r>
          </w:p>
          <w:p w:rsidR="00A41953" w:rsidRPr="00A41953" w:rsidRDefault="00A41953" w:rsidP="00A41953">
            <w:pPr>
              <w:spacing w:after="200" w:line="240" w:lineRule="auto"/>
              <w:jc w:val="both"/>
              <w:rPr>
                <w:rFonts w:eastAsia="Calibri" w:cs="Times New Roman"/>
                <w:szCs w:val="24"/>
              </w:rPr>
            </w:pPr>
          </w:p>
        </w:tc>
      </w:tr>
      <w:tr w:rsidR="00A41953" w:rsidRPr="00A41953" w:rsidTr="00DA278B">
        <w:tc>
          <w:tcPr>
            <w:tcW w:w="4390" w:type="dxa"/>
          </w:tcPr>
          <w:p w:rsidR="00A41953" w:rsidRPr="00A41953" w:rsidRDefault="00A41953" w:rsidP="00A41953">
            <w:pPr>
              <w:spacing w:after="200" w:line="240" w:lineRule="auto"/>
              <w:jc w:val="both"/>
              <w:rPr>
                <w:rFonts w:eastAsia="Calibri" w:cs="Times New Roman"/>
                <w:szCs w:val="24"/>
              </w:rPr>
            </w:pPr>
            <w:r w:rsidRPr="00A41953">
              <w:rPr>
                <w:rFonts w:eastAsia="Calibri" w:cs="Times New Roman"/>
                <w:iCs/>
                <w:szCs w:val="24"/>
              </w:rPr>
              <w:lastRenderedPageBreak/>
              <w:t>Mokymosi konstruktyvumas</w:t>
            </w:r>
          </w:p>
        </w:tc>
        <w:tc>
          <w:tcPr>
            <w:tcW w:w="2929" w:type="dxa"/>
          </w:tcPr>
          <w:p w:rsidR="00A41953" w:rsidRPr="00A41953" w:rsidRDefault="00A41953" w:rsidP="00A41953">
            <w:pPr>
              <w:spacing w:after="200" w:line="240" w:lineRule="auto"/>
              <w:jc w:val="both"/>
              <w:rPr>
                <w:rFonts w:eastAsia="Calibri" w:cs="Times New Roman"/>
                <w:szCs w:val="24"/>
              </w:rPr>
            </w:pPr>
          </w:p>
        </w:tc>
        <w:tc>
          <w:tcPr>
            <w:tcW w:w="3969" w:type="dxa"/>
          </w:tcPr>
          <w:p w:rsidR="00A41953" w:rsidRPr="00A41953" w:rsidRDefault="00A41953" w:rsidP="00A41953">
            <w:pPr>
              <w:spacing w:after="200" w:line="240" w:lineRule="auto"/>
              <w:jc w:val="both"/>
              <w:rPr>
                <w:rFonts w:eastAsia="Calibri" w:cs="Times New Roman"/>
                <w:szCs w:val="24"/>
              </w:rPr>
            </w:pPr>
          </w:p>
        </w:tc>
        <w:tc>
          <w:tcPr>
            <w:tcW w:w="3544" w:type="dxa"/>
          </w:tcPr>
          <w:p w:rsidR="00A41953" w:rsidRPr="00A41953" w:rsidRDefault="00A41953" w:rsidP="00A41953">
            <w:pPr>
              <w:spacing w:after="200" w:line="240" w:lineRule="auto"/>
              <w:jc w:val="both"/>
              <w:rPr>
                <w:rFonts w:eastAsia="Calibri" w:cs="Times New Roman"/>
                <w:szCs w:val="24"/>
              </w:rPr>
            </w:pPr>
          </w:p>
        </w:tc>
      </w:tr>
      <w:tr w:rsidR="00A41953" w:rsidRPr="00A41953" w:rsidTr="00DA278B">
        <w:tc>
          <w:tcPr>
            <w:tcW w:w="4390" w:type="dxa"/>
          </w:tcPr>
          <w:p w:rsidR="00A41953" w:rsidRPr="00A41953" w:rsidRDefault="00A41953" w:rsidP="00A41953">
            <w:pPr>
              <w:spacing w:after="200" w:line="240" w:lineRule="auto"/>
              <w:jc w:val="center"/>
              <w:rPr>
                <w:rFonts w:eastAsia="Calibri" w:cs="Times New Roman"/>
                <w:iCs/>
                <w:szCs w:val="24"/>
              </w:rPr>
            </w:pPr>
            <w:r w:rsidRPr="00A41953">
              <w:rPr>
                <w:rFonts w:eastAsia="Calibri" w:cs="Times New Roman"/>
                <w:iCs/>
                <w:szCs w:val="24"/>
              </w:rPr>
              <w:t>4</w:t>
            </w:r>
          </w:p>
        </w:tc>
        <w:tc>
          <w:tcPr>
            <w:tcW w:w="2929" w:type="dxa"/>
          </w:tcPr>
          <w:p w:rsidR="00A41953" w:rsidRPr="00A41953" w:rsidRDefault="00A41953" w:rsidP="00A41953">
            <w:pPr>
              <w:spacing w:after="200" w:line="240" w:lineRule="auto"/>
              <w:jc w:val="center"/>
              <w:rPr>
                <w:rFonts w:eastAsia="Calibri" w:cs="Times New Roman"/>
                <w:szCs w:val="24"/>
                <w:lang w:eastAsia="lt-LT"/>
              </w:rPr>
            </w:pPr>
            <w:r w:rsidRPr="00A41953">
              <w:rPr>
                <w:rFonts w:eastAsia="Calibri" w:cs="Times New Roman"/>
                <w:szCs w:val="24"/>
                <w:lang w:eastAsia="lt-LT"/>
              </w:rPr>
              <w:t>3</w:t>
            </w:r>
          </w:p>
        </w:tc>
        <w:tc>
          <w:tcPr>
            <w:tcW w:w="3969" w:type="dxa"/>
          </w:tcPr>
          <w:p w:rsidR="00A41953" w:rsidRPr="00A41953" w:rsidRDefault="00A41953" w:rsidP="00A41953">
            <w:pPr>
              <w:spacing w:after="200" w:line="240" w:lineRule="auto"/>
              <w:jc w:val="center"/>
              <w:rPr>
                <w:rFonts w:eastAsia="Calibri" w:cs="Times New Roman"/>
                <w:szCs w:val="24"/>
                <w:lang w:eastAsia="lt-LT"/>
              </w:rPr>
            </w:pPr>
            <w:r w:rsidRPr="00A41953">
              <w:rPr>
                <w:rFonts w:eastAsia="Calibri" w:cs="Times New Roman"/>
                <w:szCs w:val="24"/>
                <w:lang w:eastAsia="lt-LT"/>
              </w:rPr>
              <w:t>2</w:t>
            </w:r>
          </w:p>
        </w:tc>
        <w:tc>
          <w:tcPr>
            <w:tcW w:w="3544" w:type="dxa"/>
          </w:tcPr>
          <w:p w:rsidR="00A41953" w:rsidRPr="00A41953" w:rsidRDefault="00A41953" w:rsidP="00A41953">
            <w:pPr>
              <w:spacing w:after="200" w:line="240" w:lineRule="auto"/>
              <w:jc w:val="center"/>
              <w:rPr>
                <w:rFonts w:eastAsia="Calibri" w:cs="Times New Roman"/>
                <w:szCs w:val="24"/>
              </w:rPr>
            </w:pPr>
            <w:r w:rsidRPr="00A41953">
              <w:rPr>
                <w:rFonts w:eastAsia="Calibri" w:cs="Times New Roman"/>
                <w:szCs w:val="24"/>
              </w:rPr>
              <w:t>1</w:t>
            </w:r>
          </w:p>
        </w:tc>
      </w:tr>
      <w:tr w:rsidR="00A41953" w:rsidRPr="00A41953" w:rsidTr="00DA278B">
        <w:tc>
          <w:tcPr>
            <w:tcW w:w="4390" w:type="dxa"/>
          </w:tcPr>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t>80 proc. ir daugiau mokinių sieja išmoktus dalykus ir asmenines patirtis su nežinomais dalykais.</w:t>
            </w:r>
          </w:p>
          <w:p w:rsidR="00A41953" w:rsidRPr="00A41953" w:rsidRDefault="00A41953" w:rsidP="00A41953">
            <w:pPr>
              <w:spacing w:after="200" w:line="240" w:lineRule="auto"/>
              <w:rPr>
                <w:rFonts w:eastAsia="Calibri" w:cs="Times New Roman"/>
                <w:iCs/>
                <w:szCs w:val="24"/>
              </w:rPr>
            </w:pPr>
          </w:p>
        </w:tc>
        <w:tc>
          <w:tcPr>
            <w:tcW w:w="2929" w:type="dxa"/>
          </w:tcPr>
          <w:p w:rsidR="00A41953" w:rsidRPr="00A41953" w:rsidRDefault="00A41953" w:rsidP="00A41953">
            <w:pPr>
              <w:spacing w:after="200" w:line="276" w:lineRule="auto"/>
              <w:rPr>
                <w:rFonts w:eastAsia="Calibri" w:cs="Times New Roman"/>
                <w:szCs w:val="24"/>
              </w:rPr>
            </w:pPr>
            <w:r w:rsidRPr="00A41953">
              <w:rPr>
                <w:rFonts w:eastAsia="Calibri" w:cs="Times New Roman"/>
                <w:szCs w:val="24"/>
              </w:rPr>
              <w:t>Tarp 65 ir 79 proc. mokinių sieja išmoktus dalykus ir asmenines patirtis su nežinomais dalykais.</w:t>
            </w:r>
          </w:p>
        </w:tc>
        <w:tc>
          <w:tcPr>
            <w:tcW w:w="3969" w:type="dxa"/>
          </w:tcPr>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t>Nuo 35 iki 64 proc. mokinių sieja išmoktus dalykus ir asmenines patirtis su nežinomais dalykais.</w:t>
            </w:r>
          </w:p>
          <w:p w:rsidR="00A41953" w:rsidRPr="00A41953" w:rsidRDefault="00A41953" w:rsidP="00A41953">
            <w:pPr>
              <w:spacing w:after="200" w:line="240" w:lineRule="auto"/>
              <w:jc w:val="both"/>
              <w:rPr>
                <w:rFonts w:eastAsia="Calibri" w:cs="Times New Roman"/>
                <w:szCs w:val="24"/>
              </w:rPr>
            </w:pPr>
          </w:p>
        </w:tc>
        <w:tc>
          <w:tcPr>
            <w:tcW w:w="3544" w:type="dxa"/>
          </w:tcPr>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t>Iki 34 proc. mokinių sieja išmoktus dalykus ir asmenines patirtis su nežinomais dalykais.</w:t>
            </w:r>
          </w:p>
          <w:p w:rsidR="00A41953" w:rsidRPr="00A41953" w:rsidRDefault="00A41953" w:rsidP="00A41953">
            <w:pPr>
              <w:spacing w:after="200" w:line="240" w:lineRule="auto"/>
              <w:jc w:val="both"/>
              <w:rPr>
                <w:rFonts w:eastAsia="Calibri" w:cs="Times New Roman"/>
                <w:szCs w:val="24"/>
              </w:rPr>
            </w:pPr>
          </w:p>
        </w:tc>
      </w:tr>
      <w:tr w:rsidR="00A41953" w:rsidRPr="00A41953" w:rsidTr="00DA278B">
        <w:tc>
          <w:tcPr>
            <w:tcW w:w="4390" w:type="dxa"/>
          </w:tcPr>
          <w:p w:rsidR="00A41953" w:rsidRPr="00A41953" w:rsidRDefault="00A41953" w:rsidP="00A41953">
            <w:pPr>
              <w:spacing w:after="200" w:line="240" w:lineRule="auto"/>
              <w:rPr>
                <w:rFonts w:eastAsia="Calibri" w:cs="Times New Roman"/>
                <w:iCs/>
                <w:szCs w:val="24"/>
              </w:rPr>
            </w:pPr>
            <w:r w:rsidRPr="00A41953">
              <w:rPr>
                <w:rFonts w:eastAsia="Calibri" w:cs="Times New Roman"/>
                <w:iCs/>
                <w:szCs w:val="24"/>
              </w:rPr>
              <w:t>Mokymosi socialumas</w:t>
            </w:r>
          </w:p>
        </w:tc>
        <w:tc>
          <w:tcPr>
            <w:tcW w:w="2929" w:type="dxa"/>
          </w:tcPr>
          <w:p w:rsidR="00A41953" w:rsidRPr="00A41953" w:rsidRDefault="00A41953" w:rsidP="00A41953">
            <w:pPr>
              <w:spacing w:after="200" w:line="276" w:lineRule="auto"/>
              <w:rPr>
                <w:rFonts w:eastAsia="Calibri" w:cs="Times New Roman"/>
                <w:szCs w:val="24"/>
              </w:rPr>
            </w:pPr>
          </w:p>
        </w:tc>
        <w:tc>
          <w:tcPr>
            <w:tcW w:w="3969" w:type="dxa"/>
          </w:tcPr>
          <w:p w:rsidR="00A41953" w:rsidRPr="00A41953" w:rsidRDefault="00A41953" w:rsidP="00A41953">
            <w:pPr>
              <w:spacing w:after="200" w:line="240" w:lineRule="auto"/>
              <w:jc w:val="both"/>
              <w:rPr>
                <w:rFonts w:eastAsia="Calibri" w:cs="Times New Roman"/>
                <w:szCs w:val="24"/>
              </w:rPr>
            </w:pPr>
          </w:p>
        </w:tc>
        <w:tc>
          <w:tcPr>
            <w:tcW w:w="3544" w:type="dxa"/>
          </w:tcPr>
          <w:p w:rsidR="00A41953" w:rsidRPr="00A41953" w:rsidRDefault="00A41953" w:rsidP="00A41953">
            <w:pPr>
              <w:spacing w:after="200" w:line="240" w:lineRule="auto"/>
              <w:jc w:val="both"/>
              <w:rPr>
                <w:rFonts w:eastAsia="Calibri" w:cs="Times New Roman"/>
                <w:szCs w:val="24"/>
              </w:rPr>
            </w:pPr>
          </w:p>
        </w:tc>
      </w:tr>
      <w:tr w:rsidR="00A41953" w:rsidRPr="00A41953" w:rsidTr="00DA278B">
        <w:tc>
          <w:tcPr>
            <w:tcW w:w="4390" w:type="dxa"/>
          </w:tcPr>
          <w:p w:rsidR="00A41953" w:rsidRPr="00A41953" w:rsidRDefault="00A41953" w:rsidP="00A41953">
            <w:pPr>
              <w:spacing w:after="200" w:line="240" w:lineRule="auto"/>
              <w:jc w:val="center"/>
              <w:rPr>
                <w:rFonts w:eastAsia="Calibri" w:cs="Times New Roman"/>
                <w:iCs/>
                <w:szCs w:val="24"/>
              </w:rPr>
            </w:pPr>
            <w:r w:rsidRPr="00A41953">
              <w:rPr>
                <w:rFonts w:eastAsia="Calibri" w:cs="Times New Roman"/>
                <w:iCs/>
                <w:szCs w:val="24"/>
              </w:rPr>
              <w:t>4</w:t>
            </w:r>
          </w:p>
        </w:tc>
        <w:tc>
          <w:tcPr>
            <w:tcW w:w="2929" w:type="dxa"/>
          </w:tcPr>
          <w:p w:rsidR="00A41953" w:rsidRPr="00A41953" w:rsidRDefault="00A41953" w:rsidP="00A41953">
            <w:pPr>
              <w:spacing w:after="200" w:line="240" w:lineRule="auto"/>
              <w:jc w:val="center"/>
              <w:rPr>
                <w:rFonts w:eastAsia="Calibri" w:cs="Times New Roman"/>
                <w:szCs w:val="24"/>
                <w:lang w:eastAsia="lt-LT"/>
              </w:rPr>
            </w:pPr>
            <w:r w:rsidRPr="00A41953">
              <w:rPr>
                <w:rFonts w:eastAsia="Calibri" w:cs="Times New Roman"/>
                <w:szCs w:val="24"/>
                <w:lang w:eastAsia="lt-LT"/>
              </w:rPr>
              <w:t>3</w:t>
            </w:r>
          </w:p>
        </w:tc>
        <w:tc>
          <w:tcPr>
            <w:tcW w:w="3969" w:type="dxa"/>
          </w:tcPr>
          <w:p w:rsidR="00A41953" w:rsidRPr="00A41953" w:rsidRDefault="00A41953" w:rsidP="00A41953">
            <w:pPr>
              <w:spacing w:after="200" w:line="240" w:lineRule="auto"/>
              <w:jc w:val="center"/>
              <w:rPr>
                <w:rFonts w:eastAsia="Calibri" w:cs="Times New Roman"/>
                <w:szCs w:val="24"/>
                <w:lang w:eastAsia="lt-LT"/>
              </w:rPr>
            </w:pPr>
            <w:r w:rsidRPr="00A41953">
              <w:rPr>
                <w:rFonts w:eastAsia="Calibri" w:cs="Times New Roman"/>
                <w:szCs w:val="24"/>
                <w:lang w:eastAsia="lt-LT"/>
              </w:rPr>
              <w:t>2</w:t>
            </w:r>
          </w:p>
        </w:tc>
        <w:tc>
          <w:tcPr>
            <w:tcW w:w="3544" w:type="dxa"/>
          </w:tcPr>
          <w:p w:rsidR="00A41953" w:rsidRPr="00A41953" w:rsidRDefault="00A41953" w:rsidP="00A41953">
            <w:pPr>
              <w:spacing w:after="200" w:line="240" w:lineRule="auto"/>
              <w:jc w:val="center"/>
              <w:rPr>
                <w:rFonts w:eastAsia="Calibri" w:cs="Times New Roman"/>
                <w:szCs w:val="24"/>
              </w:rPr>
            </w:pPr>
            <w:r w:rsidRPr="00A41953">
              <w:rPr>
                <w:rFonts w:eastAsia="Calibri" w:cs="Times New Roman"/>
                <w:szCs w:val="24"/>
              </w:rPr>
              <w:t>1</w:t>
            </w:r>
          </w:p>
        </w:tc>
      </w:tr>
      <w:tr w:rsidR="00A41953" w:rsidRPr="00A41953" w:rsidTr="00DA278B">
        <w:tc>
          <w:tcPr>
            <w:tcW w:w="4390" w:type="dxa"/>
          </w:tcPr>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t>80 proc. ir daugiau mokinių geba mokytis bendradarbiaujant įvairiomis aplinkybėmis įvairios sudėties ir dydžio grupėse bei poromis.</w:t>
            </w:r>
          </w:p>
          <w:p w:rsidR="00A41953" w:rsidRPr="00A41953" w:rsidRDefault="00A41953" w:rsidP="00A41953">
            <w:pPr>
              <w:spacing w:after="200" w:line="240" w:lineRule="auto"/>
              <w:jc w:val="both"/>
              <w:rPr>
                <w:rFonts w:eastAsia="Calibri" w:cs="Times New Roman"/>
                <w:szCs w:val="24"/>
              </w:rPr>
            </w:pPr>
          </w:p>
        </w:tc>
        <w:tc>
          <w:tcPr>
            <w:tcW w:w="2929" w:type="dxa"/>
          </w:tcPr>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t>Tarp 65 ir 79 proc mokinių geba mokytis bendradarbiaujant įvairiomis aplinkybėmis įvairios sudėties ir dydžio grupėse bei poromis.</w:t>
            </w:r>
          </w:p>
          <w:p w:rsidR="00A41953" w:rsidRPr="00A41953" w:rsidRDefault="00A41953" w:rsidP="00A41953">
            <w:pPr>
              <w:spacing w:after="200" w:line="276" w:lineRule="auto"/>
              <w:rPr>
                <w:rFonts w:eastAsia="Calibri" w:cs="Times New Roman"/>
                <w:szCs w:val="24"/>
              </w:rPr>
            </w:pPr>
          </w:p>
        </w:tc>
        <w:tc>
          <w:tcPr>
            <w:tcW w:w="3969" w:type="dxa"/>
          </w:tcPr>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t>Nuo 35 iki 64 proc. mokinių geba mokytis bendradarbiaujant įvairiomis aplinkybėmis įvairios sudėties ir dydžio grupėse bei poromis.</w:t>
            </w:r>
          </w:p>
          <w:p w:rsidR="00A41953" w:rsidRPr="00A41953" w:rsidRDefault="00A41953" w:rsidP="00A41953">
            <w:pPr>
              <w:spacing w:after="200" w:line="240" w:lineRule="auto"/>
              <w:jc w:val="both"/>
              <w:rPr>
                <w:rFonts w:eastAsia="Calibri" w:cs="Times New Roman"/>
                <w:szCs w:val="24"/>
              </w:rPr>
            </w:pPr>
          </w:p>
        </w:tc>
        <w:tc>
          <w:tcPr>
            <w:tcW w:w="3544" w:type="dxa"/>
          </w:tcPr>
          <w:p w:rsidR="00A41953" w:rsidRPr="00A41953" w:rsidRDefault="00A41953" w:rsidP="00A41953">
            <w:pPr>
              <w:spacing w:after="200" w:line="240" w:lineRule="auto"/>
              <w:jc w:val="both"/>
              <w:rPr>
                <w:rFonts w:eastAsia="Calibri" w:cs="Times New Roman"/>
                <w:szCs w:val="24"/>
              </w:rPr>
            </w:pPr>
            <w:r w:rsidRPr="00A41953">
              <w:rPr>
                <w:rFonts w:eastAsia="Calibri" w:cs="Times New Roman"/>
                <w:szCs w:val="24"/>
              </w:rPr>
              <w:t>Iki 34 proc. mokinių geba mokytis bendradarbiaujant įvairiomis aplinkybėmis įvairios sudėties ir dydžio grupėse bei poromis.</w:t>
            </w:r>
          </w:p>
          <w:p w:rsidR="00A41953" w:rsidRPr="00A41953" w:rsidRDefault="00A41953" w:rsidP="00A41953">
            <w:pPr>
              <w:spacing w:after="200" w:line="240" w:lineRule="auto"/>
              <w:jc w:val="both"/>
              <w:rPr>
                <w:rFonts w:eastAsia="Calibri" w:cs="Times New Roman"/>
                <w:szCs w:val="24"/>
              </w:rPr>
            </w:pPr>
          </w:p>
        </w:tc>
      </w:tr>
    </w:tbl>
    <w:p w:rsidR="00A41953" w:rsidRPr="00A41953" w:rsidRDefault="00A41953" w:rsidP="00A41953">
      <w:pPr>
        <w:spacing w:after="200" w:line="276" w:lineRule="auto"/>
        <w:rPr>
          <w:rFonts w:eastAsia="Calibri" w:cs="Times New Roman"/>
          <w:szCs w:val="24"/>
        </w:rPr>
      </w:pPr>
    </w:p>
    <w:p w:rsidR="00127680" w:rsidRDefault="00127680" w:rsidP="00A41953">
      <w:pPr>
        <w:rPr>
          <w:rFonts w:eastAsia="Times New Roman" w:cs="Times New Roman"/>
          <w:b/>
          <w:szCs w:val="24"/>
          <w:lang w:eastAsia="lt-LT"/>
        </w:rPr>
      </w:pPr>
    </w:p>
    <w:p w:rsidR="00127680" w:rsidRDefault="00127680" w:rsidP="00A41953">
      <w:pPr>
        <w:rPr>
          <w:rFonts w:eastAsia="Times New Roman" w:cs="Times New Roman"/>
          <w:b/>
          <w:szCs w:val="24"/>
          <w:lang w:eastAsia="lt-LT"/>
        </w:rPr>
      </w:pPr>
    </w:p>
    <w:p w:rsidR="00127680" w:rsidRDefault="00127680" w:rsidP="00A41953">
      <w:pPr>
        <w:rPr>
          <w:rFonts w:eastAsia="Times New Roman" w:cs="Times New Roman"/>
          <w:b/>
          <w:szCs w:val="24"/>
          <w:lang w:eastAsia="lt-LT"/>
        </w:rPr>
      </w:pPr>
    </w:p>
    <w:p w:rsidR="00A41953" w:rsidRDefault="00127680" w:rsidP="00A41953">
      <w:pPr>
        <w:rPr>
          <w:rFonts w:eastAsia="Times New Roman" w:cs="Times New Roman"/>
          <w:b/>
          <w:szCs w:val="24"/>
          <w:lang w:eastAsia="lt-LT"/>
        </w:rPr>
      </w:pPr>
      <w:r>
        <w:rPr>
          <w:rFonts w:eastAsia="Times New Roman" w:cs="Times New Roman"/>
          <w:b/>
          <w:szCs w:val="24"/>
          <w:lang w:eastAsia="lt-LT"/>
        </w:rPr>
        <w:t xml:space="preserve">                                 </w:t>
      </w:r>
      <w:r w:rsidRPr="00127680">
        <w:rPr>
          <w:rFonts w:eastAsia="Times New Roman" w:cs="Times New Roman"/>
          <w:b/>
          <w:szCs w:val="24"/>
          <w:lang w:eastAsia="lt-LT"/>
        </w:rPr>
        <w:t>Įsivertinimo metu padarytos išvados  ir pateikti p</w:t>
      </w:r>
      <w:r>
        <w:rPr>
          <w:rFonts w:eastAsia="Times New Roman" w:cs="Times New Roman"/>
          <w:b/>
          <w:szCs w:val="24"/>
          <w:lang w:eastAsia="lt-LT"/>
        </w:rPr>
        <w:t>asiūlymai planuojant veiklą 2017-2018</w:t>
      </w:r>
      <w:r w:rsidRPr="00127680">
        <w:rPr>
          <w:rFonts w:eastAsia="Times New Roman" w:cs="Times New Roman"/>
          <w:b/>
          <w:szCs w:val="24"/>
          <w:lang w:eastAsia="lt-LT"/>
        </w:rPr>
        <w:t xml:space="preserve"> m.m.</w:t>
      </w:r>
    </w:p>
    <w:p w:rsidR="001D53EC" w:rsidRDefault="001D53EC" w:rsidP="00A41953">
      <w:pPr>
        <w:rPr>
          <w:rFonts w:eastAsia="Times New Roman" w:cs="Times New Roman"/>
          <w:b/>
          <w:szCs w:val="24"/>
          <w:lang w:eastAsia="lt-LT"/>
        </w:rPr>
      </w:pPr>
    </w:p>
    <w:p w:rsidR="001D53EC" w:rsidRDefault="001D53EC" w:rsidP="00A41953">
      <w:pPr>
        <w:rPr>
          <w:rFonts w:eastAsia="Times New Roman" w:cs="Times New Roman"/>
          <w:b/>
          <w:szCs w:val="24"/>
          <w:lang w:eastAsia="lt-LT"/>
        </w:rPr>
      </w:pPr>
      <w:r>
        <w:rPr>
          <w:rFonts w:eastAsia="Times New Roman" w:cs="Times New Roman"/>
          <w:b/>
          <w:szCs w:val="24"/>
          <w:lang w:eastAsia="lt-LT"/>
        </w:rPr>
        <w:t>Išvados:</w:t>
      </w:r>
    </w:p>
    <w:p w:rsidR="00127680" w:rsidRDefault="00127680" w:rsidP="00A41953">
      <w:pPr>
        <w:rPr>
          <w:rFonts w:eastAsia="Times New Roman" w:cs="Times New Roman"/>
          <w:b/>
          <w:szCs w:val="24"/>
          <w:lang w:eastAsia="lt-LT"/>
        </w:rPr>
      </w:pPr>
    </w:p>
    <w:p w:rsidR="00127680" w:rsidRPr="00127680" w:rsidRDefault="00127680" w:rsidP="00127680">
      <w:pPr>
        <w:autoSpaceDE w:val="0"/>
        <w:autoSpaceDN w:val="0"/>
        <w:adjustRightInd w:val="0"/>
        <w:spacing w:line="360" w:lineRule="auto"/>
        <w:rPr>
          <w:rFonts w:eastAsia="Times New Roman" w:cs="Times New Roman"/>
          <w:szCs w:val="24"/>
        </w:rPr>
      </w:pPr>
      <w:r w:rsidRPr="00127680">
        <w:rPr>
          <w:rFonts w:eastAsia="Times New Roman" w:cs="Times New Roman"/>
          <w:szCs w:val="24"/>
        </w:rPr>
        <w:t>mokytojai labai aukštai įsivertino pamokos vadybą (3,8)</w:t>
      </w:r>
    </w:p>
    <w:p w:rsidR="00127680" w:rsidRPr="00127680" w:rsidRDefault="00127680" w:rsidP="00127680">
      <w:pPr>
        <w:autoSpaceDE w:val="0"/>
        <w:autoSpaceDN w:val="0"/>
        <w:adjustRightInd w:val="0"/>
        <w:spacing w:line="360" w:lineRule="auto"/>
        <w:rPr>
          <w:rFonts w:eastAsia="Times New Roman" w:cs="Times New Roman"/>
          <w:szCs w:val="24"/>
        </w:rPr>
      </w:pPr>
      <w:r w:rsidRPr="00127680">
        <w:rPr>
          <w:rFonts w:eastAsia="Times New Roman" w:cs="Times New Roman"/>
          <w:szCs w:val="24"/>
        </w:rPr>
        <w:t>mokinių anketų rezultatai šį įsivertinimą patvirtina (3,7)</w:t>
      </w:r>
    </w:p>
    <w:p w:rsidR="00127680" w:rsidRPr="00127680" w:rsidRDefault="00127680" w:rsidP="00127680">
      <w:pPr>
        <w:autoSpaceDE w:val="0"/>
        <w:autoSpaceDN w:val="0"/>
        <w:adjustRightInd w:val="0"/>
        <w:spacing w:line="360" w:lineRule="auto"/>
        <w:rPr>
          <w:rFonts w:eastAsia="Calibri" w:cs="Times New Roman"/>
          <w:szCs w:val="24"/>
        </w:rPr>
      </w:pPr>
    </w:p>
    <w:p w:rsidR="00127680" w:rsidRPr="00127680" w:rsidRDefault="00127680" w:rsidP="00127680">
      <w:pPr>
        <w:spacing w:after="200" w:line="240" w:lineRule="auto"/>
        <w:jc w:val="both"/>
        <w:rPr>
          <w:rFonts w:eastAsia="Calibri" w:cs="Times New Roman"/>
          <w:szCs w:val="24"/>
        </w:rPr>
      </w:pPr>
      <w:r w:rsidRPr="00127680">
        <w:rPr>
          <w:rFonts w:eastAsia="Times New Roman" w:cs="Times New Roman"/>
          <w:szCs w:val="24"/>
        </w:rPr>
        <w:t xml:space="preserve">1. </w:t>
      </w:r>
      <w:r w:rsidRPr="00127680">
        <w:rPr>
          <w:rFonts w:eastAsia="Calibri" w:cs="Times New Roman"/>
          <w:szCs w:val="24"/>
        </w:rPr>
        <w:t>80 proc. ir daugiau mokytojų pripažįsta mokinių amžiaus tarpsnio, asmeninius ir ugdymosi poreikius, interesus, gebėjimus, mokymosi stilius, į kuriuos atsižvelgia organizuodami mokymą(si).</w:t>
      </w:r>
    </w:p>
    <w:p w:rsidR="00127680" w:rsidRPr="00127680" w:rsidRDefault="00127680" w:rsidP="00127680">
      <w:pPr>
        <w:autoSpaceDE w:val="0"/>
        <w:autoSpaceDN w:val="0"/>
        <w:adjustRightInd w:val="0"/>
        <w:spacing w:line="240" w:lineRule="auto"/>
        <w:rPr>
          <w:rFonts w:eastAsia="Calibri" w:cs="Times New Roman"/>
          <w:szCs w:val="24"/>
        </w:rPr>
      </w:pPr>
      <w:r w:rsidRPr="00127680">
        <w:rPr>
          <w:rFonts w:eastAsia="Calibri" w:cs="Times New Roman"/>
          <w:szCs w:val="24"/>
        </w:rPr>
        <w:t xml:space="preserve"> 90 proc. ir daugiau mokytojų taiko įvairius nenuolatinius mokinių pergrupavimo pagal jų mokymosi poreikius būdus.</w:t>
      </w:r>
    </w:p>
    <w:p w:rsidR="00127680" w:rsidRPr="00127680" w:rsidRDefault="00127680" w:rsidP="00127680">
      <w:pPr>
        <w:autoSpaceDE w:val="0"/>
        <w:autoSpaceDN w:val="0"/>
        <w:adjustRightInd w:val="0"/>
        <w:spacing w:line="240" w:lineRule="auto"/>
        <w:rPr>
          <w:rFonts w:eastAsia="Calibri" w:cs="Times New Roman"/>
          <w:szCs w:val="24"/>
        </w:rPr>
      </w:pPr>
    </w:p>
    <w:p w:rsidR="00127680" w:rsidRPr="00127680" w:rsidRDefault="00127680" w:rsidP="00127680">
      <w:pPr>
        <w:autoSpaceDE w:val="0"/>
        <w:autoSpaceDN w:val="0"/>
        <w:adjustRightInd w:val="0"/>
        <w:spacing w:line="240" w:lineRule="auto"/>
        <w:rPr>
          <w:rFonts w:eastAsia="Calibri" w:cs="Times New Roman"/>
          <w:szCs w:val="24"/>
        </w:rPr>
      </w:pPr>
      <w:r w:rsidRPr="00127680">
        <w:rPr>
          <w:rFonts w:eastAsia="Calibri" w:cs="Times New Roman"/>
          <w:szCs w:val="24"/>
        </w:rPr>
        <w:t>2. 80 proc. ir daugiau mokytojų mokinių elgesį valdo aiškiomis, sutartomis  taisyklėmis ir procedūromis, asmeniniu mokinio įsipareigojimu, socialiniu emociniu ugdymu, pageidaujamo elgesio skatinimu, asmeniniu mokytojo pavyzdžiu</w:t>
      </w:r>
    </w:p>
    <w:p w:rsidR="00127680" w:rsidRPr="00127680" w:rsidRDefault="00127680" w:rsidP="00127680">
      <w:pPr>
        <w:autoSpaceDE w:val="0"/>
        <w:autoSpaceDN w:val="0"/>
        <w:adjustRightInd w:val="0"/>
        <w:spacing w:line="240" w:lineRule="auto"/>
        <w:rPr>
          <w:rFonts w:eastAsia="Times New Roman" w:cs="Times New Roman"/>
          <w:szCs w:val="24"/>
        </w:rPr>
      </w:pPr>
    </w:p>
    <w:p w:rsidR="00127680" w:rsidRPr="00127680" w:rsidRDefault="00127680" w:rsidP="00127680">
      <w:pPr>
        <w:spacing w:after="200" w:line="240" w:lineRule="auto"/>
        <w:jc w:val="both"/>
        <w:rPr>
          <w:rFonts w:eastAsia="Calibri" w:cs="Times New Roman"/>
          <w:szCs w:val="24"/>
        </w:rPr>
      </w:pPr>
      <w:r w:rsidRPr="00127680">
        <w:rPr>
          <w:rFonts w:eastAsia="Calibri" w:cs="Times New Roman"/>
          <w:szCs w:val="24"/>
        </w:rPr>
        <w:t>3. 80 proc. ir daugiau mokinių sieja išmoktus dalykus ir asmenines patirtis su nežinomais dalykais.</w:t>
      </w:r>
    </w:p>
    <w:p w:rsidR="00127680" w:rsidRPr="00127680" w:rsidRDefault="00127680" w:rsidP="00127680">
      <w:pPr>
        <w:spacing w:after="200" w:line="240" w:lineRule="auto"/>
        <w:jc w:val="both"/>
        <w:rPr>
          <w:rFonts w:eastAsia="Calibri" w:cs="Times New Roman"/>
          <w:szCs w:val="24"/>
        </w:rPr>
      </w:pPr>
      <w:r w:rsidRPr="00127680">
        <w:rPr>
          <w:rFonts w:eastAsia="Calibri" w:cs="Times New Roman"/>
          <w:szCs w:val="24"/>
        </w:rPr>
        <w:t>4. 80 proc. ir daugiau mokinių geba mokytis bendradarbiaujant įvairiomis aplinkybėmis įvairios sudėties ir dydžio grupėse bei poromis.</w:t>
      </w:r>
    </w:p>
    <w:p w:rsidR="001D53EC" w:rsidRPr="001D53EC" w:rsidRDefault="001D53EC" w:rsidP="001D53EC">
      <w:pPr>
        <w:spacing w:after="200" w:line="276" w:lineRule="auto"/>
        <w:rPr>
          <w:rFonts w:eastAsia="Calibri" w:cs="Times New Roman"/>
          <w:b/>
          <w:szCs w:val="24"/>
        </w:rPr>
      </w:pPr>
      <w:r w:rsidRPr="001D53EC">
        <w:rPr>
          <w:rFonts w:eastAsia="Calibri" w:cs="Times New Roman"/>
          <w:b/>
          <w:szCs w:val="24"/>
        </w:rPr>
        <w:t>Pasiūlymai:</w:t>
      </w:r>
    </w:p>
    <w:p w:rsidR="00653E4C" w:rsidRPr="00653E4C" w:rsidRDefault="00653E4C" w:rsidP="00653E4C">
      <w:pPr>
        <w:numPr>
          <w:ilvl w:val="0"/>
          <w:numId w:val="3"/>
        </w:numPr>
        <w:spacing w:after="200" w:line="276" w:lineRule="auto"/>
        <w:rPr>
          <w:rFonts w:eastAsia="Calibri" w:cs="Times New Roman"/>
          <w:szCs w:val="24"/>
        </w:rPr>
      </w:pPr>
      <w:r>
        <w:rPr>
          <w:rFonts w:eastAsia="Calibri" w:cs="Times New Roman"/>
          <w:szCs w:val="24"/>
        </w:rPr>
        <w:t>D</w:t>
      </w:r>
      <w:r w:rsidR="00127680" w:rsidRPr="00127680">
        <w:rPr>
          <w:rFonts w:eastAsia="Calibri" w:cs="Times New Roman"/>
          <w:szCs w:val="24"/>
        </w:rPr>
        <w:t>augiau dėmesio skirti mokinių s</w:t>
      </w:r>
      <w:r>
        <w:rPr>
          <w:rFonts w:eastAsia="Calibri" w:cs="Times New Roman"/>
          <w:szCs w:val="24"/>
        </w:rPr>
        <w:t>tiprybėms ir silpnybėms pažinti.</w:t>
      </w:r>
      <w:r w:rsidRPr="00653E4C">
        <w:t xml:space="preserve"> </w:t>
      </w:r>
    </w:p>
    <w:p w:rsidR="00127680" w:rsidRPr="00127680" w:rsidRDefault="00653E4C" w:rsidP="00653E4C">
      <w:pPr>
        <w:numPr>
          <w:ilvl w:val="0"/>
          <w:numId w:val="3"/>
        </w:numPr>
        <w:spacing w:after="200" w:line="276" w:lineRule="auto"/>
        <w:rPr>
          <w:rFonts w:eastAsia="Calibri" w:cs="Times New Roman"/>
          <w:szCs w:val="24"/>
        </w:rPr>
      </w:pPr>
      <w:r w:rsidRPr="00653E4C">
        <w:rPr>
          <w:rFonts w:eastAsia="Calibri" w:cs="Times New Roman"/>
          <w:szCs w:val="24"/>
        </w:rPr>
        <w:t>Dažniau pamokose skirti užduotis pagal mokinių mokymosi lygius.</w:t>
      </w:r>
    </w:p>
    <w:p w:rsidR="00127680" w:rsidRPr="00653E4C" w:rsidRDefault="00653E4C" w:rsidP="00653E4C">
      <w:pPr>
        <w:numPr>
          <w:ilvl w:val="0"/>
          <w:numId w:val="3"/>
        </w:numPr>
        <w:spacing w:after="200" w:line="276" w:lineRule="auto"/>
        <w:rPr>
          <w:rFonts w:eastAsia="Calibri" w:cs="Times New Roman"/>
          <w:szCs w:val="24"/>
        </w:rPr>
      </w:pPr>
      <w:r>
        <w:rPr>
          <w:rFonts w:eastAsia="Calibri" w:cs="Times New Roman"/>
          <w:szCs w:val="24"/>
        </w:rPr>
        <w:t>Į</w:t>
      </w:r>
      <w:r w:rsidR="001D53EC">
        <w:rPr>
          <w:rFonts w:eastAsia="Calibri" w:cs="Times New Roman"/>
          <w:szCs w:val="24"/>
        </w:rPr>
        <w:t>vairinti pamokas įterpiant</w:t>
      </w:r>
      <w:r w:rsidR="00127680" w:rsidRPr="00127680">
        <w:rPr>
          <w:rFonts w:eastAsia="Calibri" w:cs="Times New Roman"/>
          <w:szCs w:val="24"/>
        </w:rPr>
        <w:t xml:space="preserve"> </w:t>
      </w:r>
      <w:r w:rsidR="001D53EC">
        <w:rPr>
          <w:rFonts w:eastAsia="Calibri" w:cs="Times New Roman"/>
          <w:szCs w:val="24"/>
        </w:rPr>
        <w:t xml:space="preserve">aktyvios </w:t>
      </w:r>
      <w:r>
        <w:rPr>
          <w:rFonts w:eastAsia="Calibri" w:cs="Times New Roman"/>
          <w:szCs w:val="24"/>
        </w:rPr>
        <w:t xml:space="preserve">veiklos, </w:t>
      </w:r>
      <w:r w:rsidRPr="00653E4C">
        <w:rPr>
          <w:rFonts w:eastAsia="Calibri" w:cs="Times New Roman"/>
          <w:szCs w:val="24"/>
        </w:rPr>
        <w:t>nuolat taikyti kuo įvairesnius metodus</w:t>
      </w:r>
      <w:r>
        <w:rPr>
          <w:rFonts w:eastAsia="Calibri" w:cs="Times New Roman"/>
          <w:szCs w:val="24"/>
        </w:rPr>
        <w:t>.</w:t>
      </w:r>
    </w:p>
    <w:p w:rsidR="00127680" w:rsidRPr="00653E4C" w:rsidRDefault="00127680" w:rsidP="00653E4C">
      <w:pPr>
        <w:pStyle w:val="ListParagraph"/>
        <w:numPr>
          <w:ilvl w:val="0"/>
          <w:numId w:val="3"/>
        </w:numPr>
        <w:rPr>
          <w:rFonts w:eastAsia="Times New Roman" w:cs="Times New Roman"/>
          <w:b/>
          <w:szCs w:val="24"/>
          <w:lang w:eastAsia="lt-LT"/>
        </w:rPr>
      </w:pPr>
      <w:r w:rsidRPr="00653E4C">
        <w:rPr>
          <w:rFonts w:eastAsia="Calibri" w:cs="Times New Roman"/>
          <w:szCs w:val="24"/>
        </w:rPr>
        <w:t xml:space="preserve"> </w:t>
      </w:r>
      <w:r w:rsidR="00653E4C" w:rsidRPr="00653E4C">
        <w:rPr>
          <w:rFonts w:eastAsia="Calibri" w:cs="Times New Roman"/>
          <w:szCs w:val="24"/>
        </w:rPr>
        <w:t>Metodinėse grupėse ir atvirose pamokose pasidalinti gerąja patirtimi, kaip individualizuoti ir diferencijuoti namų darbų užduotis.</w:t>
      </w:r>
    </w:p>
    <w:sectPr w:rsidR="00127680" w:rsidRPr="00653E4C" w:rsidSect="00F377AC">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C5238"/>
    <w:multiLevelType w:val="hybridMultilevel"/>
    <w:tmpl w:val="B5E8FF5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2C38285C"/>
    <w:multiLevelType w:val="hybridMultilevel"/>
    <w:tmpl w:val="D98A22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E3F2CF4"/>
    <w:multiLevelType w:val="hybridMultilevel"/>
    <w:tmpl w:val="7F72AF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AC"/>
    <w:rsid w:val="00127680"/>
    <w:rsid w:val="001D53EC"/>
    <w:rsid w:val="0031736C"/>
    <w:rsid w:val="00637BC4"/>
    <w:rsid w:val="00653E4C"/>
    <w:rsid w:val="006F5904"/>
    <w:rsid w:val="0090734D"/>
    <w:rsid w:val="00A41953"/>
    <w:rsid w:val="00EE22E6"/>
    <w:rsid w:val="00F377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9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2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5759</Words>
  <Characters>3284</Characters>
  <Application>Microsoft Office Word</Application>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dc:creator>
  <cp:lastModifiedBy>Namai</cp:lastModifiedBy>
  <cp:revision>3</cp:revision>
  <dcterms:created xsi:type="dcterms:W3CDTF">2018-06-28T06:14:00Z</dcterms:created>
  <dcterms:modified xsi:type="dcterms:W3CDTF">2018-06-28T06:14:00Z</dcterms:modified>
</cp:coreProperties>
</file>